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
        <w:jc w:val="center"/>
        <w:rPr>
          <w:rFonts w:hint="default" w:ascii="Arial" w:hAnsi="Arial" w:cs="Arial"/>
          <w:b/>
          <w:bCs/>
          <w:i w:val="0"/>
          <w:iCs w:val="0"/>
          <w:color w:val="000000" w:themeColor="text1"/>
          <w:sz w:val="21"/>
          <w:szCs w:val="21"/>
          <w14:textFill>
            <w14:solidFill>
              <w14:schemeClr w14:val="tx1"/>
            </w14:solidFill>
          </w14:textFill>
        </w:rPr>
      </w:pPr>
    </w:p>
    <w:p>
      <w:pPr>
        <w:pStyle w:val="42"/>
        <w:shd w:val="clear" w:color="auto" w:fill="E6E6E6"/>
        <w:overflowPunct w:val="0"/>
        <w:spacing w:after="120" w:line="276" w:lineRule="auto"/>
        <w:ind w:right="-17"/>
        <w:jc w:val="center"/>
        <w:rPr>
          <w:rFonts w:hint="default" w:ascii="Arial" w:hAnsi="Arial" w:cs="Arial"/>
          <w:b/>
          <w:bCs/>
          <w:i w:val="0"/>
          <w:iCs w:val="0"/>
          <w:color w:val="000000" w:themeColor="text1"/>
          <w:sz w:val="21"/>
          <w:szCs w:val="21"/>
          <w:lang w:val="pt-BR"/>
          <w14:textFill>
            <w14:solidFill>
              <w14:schemeClr w14:val="tx1"/>
            </w14:solidFill>
          </w14:textFill>
        </w:rPr>
      </w:pPr>
      <w:r>
        <w:rPr>
          <w:rFonts w:hint="default" w:ascii="Arial" w:hAnsi="Arial" w:cs="Arial"/>
          <w:b/>
          <w:bCs/>
          <w:i w:val="0"/>
          <w:iCs w:val="0"/>
          <w:color w:val="000000" w:themeColor="text1"/>
          <w:sz w:val="21"/>
          <w:szCs w:val="21"/>
          <w14:textFill>
            <w14:solidFill>
              <w14:schemeClr w14:val="tx1"/>
            </w14:solidFill>
          </w14:textFill>
        </w:rPr>
        <w:t>ANEXO I</w:t>
      </w:r>
      <w:r>
        <w:rPr>
          <w:rFonts w:hint="default" w:ascii="Arial" w:hAnsi="Arial" w:cs="Arial"/>
          <w:b/>
          <w:bCs/>
          <w:i w:val="0"/>
          <w:iCs w:val="0"/>
          <w:color w:val="000000" w:themeColor="text1"/>
          <w:sz w:val="21"/>
          <w:szCs w:val="21"/>
          <w:lang w:val="pt-BR"/>
          <w14:textFill>
            <w14:solidFill>
              <w14:schemeClr w14:val="tx1"/>
            </w14:solidFill>
          </w14:textFill>
        </w:rPr>
        <w:t>X</w:t>
      </w:r>
      <w:r>
        <w:rPr>
          <w:rFonts w:hint="default" w:ascii="Arial" w:hAnsi="Arial" w:cs="Arial"/>
          <w:b/>
          <w:bCs/>
          <w:i w:val="0"/>
          <w:iCs w:val="0"/>
          <w:color w:val="000000" w:themeColor="text1"/>
          <w:sz w:val="21"/>
          <w:szCs w:val="21"/>
          <w14:textFill>
            <w14:solidFill>
              <w14:schemeClr w14:val="tx1"/>
            </w14:solidFill>
          </w14:textFill>
        </w:rPr>
        <w:t xml:space="preserve"> – MINUTA D</w:t>
      </w:r>
      <w:r>
        <w:rPr>
          <w:rFonts w:hint="default" w:ascii="Arial" w:hAnsi="Arial" w:cs="Arial"/>
          <w:b/>
          <w:bCs/>
          <w:i w:val="0"/>
          <w:iCs w:val="0"/>
          <w:color w:val="000000" w:themeColor="text1"/>
          <w:sz w:val="21"/>
          <w:szCs w:val="21"/>
          <w:lang w:val="pt-BR"/>
          <w14:textFill>
            <w14:solidFill>
              <w14:schemeClr w14:val="tx1"/>
            </w14:solidFill>
          </w14:textFill>
        </w:rPr>
        <w:t>E ATA DE REGISTRO DE PREÇOS</w:t>
      </w:r>
    </w:p>
    <w:p>
      <w:pPr>
        <w:rPr>
          <w:rFonts w:hint="default" w:ascii="Arial" w:hAnsi="Arial" w:cs="Arial"/>
          <w:i w:val="0"/>
          <w:iCs w:val="0"/>
          <w:color w:val="000000" w:themeColor="text1"/>
          <w:sz w:val="21"/>
          <w:szCs w:val="21"/>
          <w:lang w:eastAsia="en-US"/>
          <w14:textFill>
            <w14:solidFill>
              <w14:schemeClr w14:val="tx1"/>
            </w14:solidFill>
          </w14:textFill>
        </w:rPr>
      </w:pPr>
    </w:p>
    <w:p>
      <w:pPr>
        <w:ind w:right="-17" w:firstLine="0"/>
        <w:jc w:val="center"/>
        <w:rPr>
          <w:rFonts w:hint="default" w:ascii="Arial" w:hAnsi="Arial" w:cs="Arial"/>
          <w:i w:val="0"/>
          <w:iCs w:val="0"/>
          <w:color w:val="000000" w:themeColor="text1"/>
          <w:sz w:val="21"/>
          <w:szCs w:val="21"/>
          <w:lang w:val="pt-BR"/>
          <w14:textFill>
            <w14:solidFill>
              <w14:schemeClr w14:val="tx1"/>
            </w14:solidFill>
          </w14:textFill>
        </w:rPr>
      </w:pPr>
      <w:r>
        <w:rPr>
          <w:rFonts w:hint="default" w:ascii="Arial" w:hAnsi="Arial" w:cs="Arial"/>
          <w:b/>
          <w:bCs/>
          <w:i w:val="0"/>
          <w:iCs w:val="0"/>
          <w:color w:val="000000" w:themeColor="text1"/>
          <w:sz w:val="21"/>
          <w:szCs w:val="21"/>
          <w14:textFill>
            <w14:solidFill>
              <w14:schemeClr w14:val="tx1"/>
            </w14:solidFill>
          </w14:textFill>
        </w:rPr>
        <w:t xml:space="preserve">PREGÃO ELETRÔNICO (SRP) nº </w:t>
      </w:r>
      <w:r>
        <w:rPr>
          <w:rFonts w:hint="default" w:ascii="Arial" w:hAnsi="Arial" w:cs="Arial"/>
          <w:b/>
          <w:bCs/>
          <w:i w:val="0"/>
          <w:iCs w:val="0"/>
          <w:color w:val="000000" w:themeColor="text1"/>
          <w:sz w:val="21"/>
          <w:szCs w:val="21"/>
          <w:lang w:val="pt-BR"/>
          <w14:textFill>
            <w14:solidFill>
              <w14:schemeClr w14:val="tx1"/>
            </w14:solidFill>
          </w14:textFill>
        </w:rPr>
        <w:t>01</w:t>
      </w:r>
      <w:r>
        <w:rPr>
          <w:rFonts w:hint="default" w:ascii="Arial" w:hAnsi="Arial" w:cs="Arial"/>
          <w:b/>
          <w:bCs/>
          <w:i w:val="0"/>
          <w:iCs w:val="0"/>
          <w:color w:val="000000" w:themeColor="text1"/>
          <w:sz w:val="21"/>
          <w:szCs w:val="21"/>
          <w14:textFill>
            <w14:solidFill>
              <w14:schemeClr w14:val="tx1"/>
            </w14:solidFill>
          </w14:textFill>
        </w:rPr>
        <w:t>/20</w:t>
      </w:r>
      <w:r>
        <w:rPr>
          <w:rFonts w:hint="default" w:ascii="Arial" w:hAnsi="Arial" w:cs="Arial"/>
          <w:b/>
          <w:bCs/>
          <w:i w:val="0"/>
          <w:iCs w:val="0"/>
          <w:color w:val="000000" w:themeColor="text1"/>
          <w:sz w:val="21"/>
          <w:szCs w:val="21"/>
          <w:lang w:val="pt-BR"/>
          <w14:textFill>
            <w14:solidFill>
              <w14:schemeClr w14:val="tx1"/>
            </w14:solidFill>
          </w14:textFill>
        </w:rPr>
        <w:t>20</w:t>
      </w:r>
    </w:p>
    <w:p>
      <w:pPr>
        <w:ind w:right="-17" w:firstLine="0"/>
        <w:jc w:val="center"/>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(Processo Administrativo n° 23381.</w:t>
      </w:r>
      <w:r>
        <w:rPr>
          <w:rFonts w:hint="default" w:ascii="Arial" w:hAnsi="Arial" w:cs="Arial"/>
          <w:i w:val="0"/>
          <w:iCs w:val="0"/>
          <w:color w:val="000000" w:themeColor="text1"/>
          <w:sz w:val="21"/>
          <w:szCs w:val="21"/>
          <w:lang w:val="pt-BR"/>
          <w14:textFill>
            <w14:solidFill>
              <w14:schemeClr w14:val="tx1"/>
            </w14:solidFill>
          </w14:textFill>
        </w:rPr>
        <w:t>00431.2020-96</w:t>
      </w:r>
      <w:r>
        <w:rPr>
          <w:rFonts w:hint="default" w:ascii="Arial" w:hAnsi="Arial" w:cs="Arial"/>
          <w:i w:val="0"/>
          <w:iCs w:val="0"/>
          <w:color w:val="000000" w:themeColor="text1"/>
          <w:sz w:val="21"/>
          <w:szCs w:val="21"/>
          <w14:textFill>
            <w14:solidFill>
              <w14:schemeClr w14:val="tx1"/>
            </w14:solidFill>
          </w14:textFill>
        </w:rPr>
        <w:t>)</w:t>
      </w:r>
    </w:p>
    <w:p>
      <w:pPr>
        <w:widowControl w:val="0"/>
        <w:spacing w:before="120" w:after="120"/>
        <w:ind w:right="-30" w:firstLine="0"/>
        <w:jc w:val="both"/>
        <w:rPr>
          <w:rFonts w:hint="default" w:ascii="Arial" w:hAnsi="Arial" w:cs="Arial"/>
          <w:i w:val="0"/>
          <w:iCs w:val="0"/>
          <w:color w:val="000000" w:themeColor="text1"/>
          <w:sz w:val="21"/>
          <w:szCs w:val="21"/>
          <w14:textFill>
            <w14:solidFill>
              <w14:schemeClr w14:val="tx1"/>
            </w14:solidFill>
          </w14:textFill>
        </w:rPr>
      </w:pPr>
    </w:p>
    <w:p>
      <w:pPr>
        <w:widowControl w:val="0"/>
        <w:ind w:right="-30" w:firstLine="0"/>
        <w:jc w:val="center"/>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 xml:space="preserve">ATA DE REGISTRO DE PREÇOS </w:t>
      </w:r>
    </w:p>
    <w:p>
      <w:pPr>
        <w:widowControl w:val="0"/>
        <w:ind w:right="-30" w:firstLine="0"/>
        <w:jc w:val="center"/>
        <w:rPr>
          <w:rFonts w:hint="default" w:ascii="Arial" w:hAnsi="Arial" w:cs="Arial"/>
          <w:bCs/>
          <w:i w:val="0"/>
          <w:iCs w:val="0"/>
          <w:color w:val="000000" w:themeColor="text1"/>
          <w:sz w:val="21"/>
          <w:szCs w:val="21"/>
          <w14:textFill>
            <w14:solidFill>
              <w14:schemeClr w14:val="tx1"/>
            </w14:solidFill>
          </w14:textFill>
        </w:rPr>
      </w:pPr>
      <w:r>
        <w:rPr>
          <w:rFonts w:hint="default" w:ascii="Arial" w:hAnsi="Arial" w:cs="Arial"/>
          <w:bCs/>
          <w:i w:val="0"/>
          <w:iCs w:val="0"/>
          <w:color w:val="000000" w:themeColor="text1"/>
          <w:sz w:val="21"/>
          <w:szCs w:val="21"/>
          <w14:textFill>
            <w14:solidFill>
              <w14:schemeClr w14:val="tx1"/>
            </w14:solidFill>
          </w14:textFill>
        </w:rPr>
        <w:t>N.º .........</w:t>
      </w:r>
    </w:p>
    <w:p>
      <w:pPr>
        <w:spacing w:after="120" w:line="360" w:lineRule="auto"/>
        <w:ind w:right="-15"/>
        <w:jc w:val="both"/>
        <w:rPr>
          <w:rFonts w:hint="default" w:ascii="Arial" w:hAnsi="Arial" w:cs="Arial"/>
          <w:b/>
          <w:i w:val="0"/>
          <w:iCs w:val="0"/>
          <w:color w:val="000000" w:themeColor="text1"/>
          <w:sz w:val="21"/>
          <w:szCs w:val="21"/>
          <w14:textFill>
            <w14:solidFill>
              <w14:schemeClr w14:val="tx1"/>
            </w14:solidFill>
          </w14:textFill>
        </w:rPr>
      </w:pPr>
    </w:p>
    <w:p>
      <w:pPr>
        <w:widowControl w:val="0"/>
        <w:tabs>
          <w:tab w:val="center" w:pos="4779"/>
          <w:tab w:val="right" w:pos="9198"/>
        </w:tabs>
        <w:autoSpaceDE w:val="0"/>
        <w:autoSpaceDN w:val="0"/>
        <w:adjustRightInd w:val="0"/>
        <w:ind w:right="-28"/>
        <w:jc w:val="both"/>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 xml:space="preserve">O INSTITUTO FEDERAL DE EDUCAÇÃO, CIÊNCIA E TECNOLOGIA DA PARAÍBA – REITORIA, com sede na Avenida Almirante Barroso, 1077, Centro, na cidade de João Pessoa, inscrito no CNPJ/MF sob o nº 10.783.898/0001-75, neste ato representado pelo Reitor Cícero Nicácio do Nascimento Lopes pela  Portaria nº ...... de ..... de ...... de 200..., publicada no ....... de ..... de ....... de portador da matrícula funcional nº .................., considerando o julgamento da licitação na modalidade de pregão, na forma </w:t>
      </w:r>
      <w:r>
        <w:rPr>
          <w:rFonts w:hint="default" w:ascii="Arial" w:hAnsi="Arial" w:cs="Arial"/>
          <w:i w:val="0"/>
          <w:iCs w:val="0"/>
          <w:color w:val="000000" w:themeColor="text1"/>
          <w:sz w:val="21"/>
          <w:szCs w:val="21"/>
          <w14:textFill>
            <w14:solidFill>
              <w14:schemeClr w14:val="tx1"/>
            </w14:solidFill>
          </w14:textFill>
        </w:rPr>
        <w:t>eletrônica</w:t>
      </w:r>
      <w:r>
        <w:rPr>
          <w:rFonts w:hint="default" w:ascii="Arial" w:hAnsi="Arial" w:cs="Arial"/>
          <w:i w:val="0"/>
          <w:iCs w:val="0"/>
          <w:color w:val="000000" w:themeColor="text1"/>
          <w:sz w:val="21"/>
          <w:szCs w:val="21"/>
          <w14:textFill>
            <w14:solidFill>
              <w14:schemeClr w14:val="tx1"/>
            </w14:solidFill>
          </w14:textFill>
        </w:rPr>
        <w:t xml:space="preserve">, para REGISTRO DE PREÇOS nº ......./20..., publicada no ...... de ...../...../20....., </w:t>
      </w:r>
      <w:r>
        <w:rPr>
          <w:rFonts w:hint="default" w:ascii="Arial" w:hAnsi="Arial" w:cs="Arial"/>
          <w:i w:val="0"/>
          <w:iCs w:val="0"/>
          <w:color w:val="000000" w:themeColor="text1"/>
          <w:sz w:val="21"/>
          <w:szCs w:val="21"/>
          <w:lang w:val="pt-BR"/>
          <w14:textFill>
            <w14:solidFill>
              <w14:schemeClr w14:val="tx1"/>
            </w14:solidFill>
          </w14:textFill>
        </w:rPr>
        <w:t>P</w:t>
      </w:r>
      <w:r>
        <w:rPr>
          <w:rFonts w:hint="default" w:ascii="Arial" w:hAnsi="Arial" w:cs="Arial"/>
          <w:i w:val="0"/>
          <w:iCs w:val="0"/>
          <w:color w:val="000000" w:themeColor="text1"/>
          <w:sz w:val="21"/>
          <w:szCs w:val="21"/>
          <w14:textFill>
            <w14:solidFill>
              <w14:schemeClr w14:val="tx1"/>
            </w14:solidFill>
          </w14:textFill>
        </w:rPr>
        <w:t xml:space="preserve">rocesso </w:t>
      </w:r>
      <w:r>
        <w:rPr>
          <w:rFonts w:hint="default" w:ascii="Arial" w:hAnsi="Arial" w:cs="Arial"/>
          <w:i w:val="0"/>
          <w:iCs w:val="0"/>
          <w:color w:val="000000" w:themeColor="text1"/>
          <w:sz w:val="21"/>
          <w:szCs w:val="21"/>
          <w:lang w:val="pt-BR"/>
          <w14:textFill>
            <w14:solidFill>
              <w14:schemeClr w14:val="tx1"/>
            </w14:solidFill>
          </w14:textFill>
        </w:rPr>
        <w:t>A</w:t>
      </w:r>
      <w:r>
        <w:rPr>
          <w:rFonts w:hint="default" w:ascii="Arial" w:hAnsi="Arial" w:cs="Arial"/>
          <w:i w:val="0"/>
          <w:iCs w:val="0"/>
          <w:color w:val="000000" w:themeColor="text1"/>
          <w:sz w:val="21"/>
          <w:szCs w:val="21"/>
          <w14:textFill>
            <w14:solidFill>
              <w14:schemeClr w14:val="tx1"/>
            </w14:solidFill>
          </w14:textFill>
        </w:rPr>
        <w:t xml:space="preserve">dministrativo nº </w:t>
      </w:r>
      <w:r>
        <w:rPr>
          <w:rFonts w:hint="default" w:ascii="Arial" w:hAnsi="Arial" w:cs="Arial"/>
          <w:i w:val="0"/>
          <w:iCs w:val="0"/>
          <w:color w:val="000000" w:themeColor="text1"/>
          <w:sz w:val="21"/>
          <w:szCs w:val="21"/>
          <w:lang w:val="pt-BR"/>
          <w14:textFill>
            <w14:solidFill>
              <w14:schemeClr w14:val="tx1"/>
            </w14:solidFill>
          </w14:textFill>
        </w:rPr>
        <w:t>23381.000431.2020-96</w:t>
      </w:r>
      <w:r>
        <w:rPr>
          <w:rFonts w:hint="default" w:ascii="Arial" w:hAnsi="Arial" w:cs="Arial"/>
          <w:i w:val="0"/>
          <w:iCs w:val="0"/>
          <w:color w:val="000000" w:themeColor="text1"/>
          <w:sz w:val="21"/>
          <w:szCs w:val="21"/>
          <w14:textFill>
            <w14:solidFill>
              <w14:schemeClr w14:val="tx1"/>
            </w14:solidFill>
          </w14:textFill>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Pr>
          <w:rFonts w:hint="default" w:ascii="Arial" w:hAnsi="Arial" w:cs="Arial"/>
          <w:i w:val="0"/>
          <w:iCs w:val="0"/>
          <w:color w:val="000000" w:themeColor="text1"/>
          <w:sz w:val="21"/>
          <w:szCs w:val="21"/>
          <w14:textFill>
            <w14:solidFill>
              <w14:schemeClr w14:val="tx1"/>
            </w14:solidFill>
          </w14:textFill>
        </w:rPr>
        <w:t>Decreto nº 7.892, de 23 de janeiro de 2013,</w:t>
      </w:r>
      <w:r>
        <w:rPr>
          <w:rFonts w:hint="default" w:ascii="Arial" w:hAnsi="Arial" w:cs="Arial"/>
          <w:i w:val="0"/>
          <w:iCs w:val="0"/>
          <w:color w:val="000000" w:themeColor="text1"/>
          <w:sz w:val="21"/>
          <w:szCs w:val="21"/>
          <w14:textFill>
            <w14:solidFill>
              <w14:schemeClr w14:val="tx1"/>
            </w14:solidFill>
          </w14:textFill>
        </w:rPr>
        <w:t xml:space="preserve"> e em conformidade com as disposições a seguir:</w:t>
      </w:r>
    </w:p>
    <w:p>
      <w:pPr>
        <w:widowControl w:val="0"/>
        <w:tabs>
          <w:tab w:val="center" w:pos="4779"/>
          <w:tab w:val="right" w:pos="9198"/>
        </w:tabs>
        <w:autoSpaceDE w:val="0"/>
        <w:autoSpaceDN w:val="0"/>
        <w:adjustRightInd w:val="0"/>
        <w:ind w:right="-28"/>
        <w:jc w:val="both"/>
        <w:rPr>
          <w:rFonts w:hint="default" w:ascii="Arial" w:hAnsi="Arial" w:cs="Arial"/>
          <w:i w:val="0"/>
          <w:iCs w:val="0"/>
          <w:color w:val="000000" w:themeColor="text1"/>
          <w:sz w:val="21"/>
          <w:szCs w:val="21"/>
          <w14:textFill>
            <w14:solidFill>
              <w14:schemeClr w14:val="tx1"/>
            </w14:solidFill>
          </w14:textFill>
        </w:rPr>
      </w:pPr>
    </w:p>
    <w:p>
      <w:pPr>
        <w:pStyle w:val="38"/>
        <w:numPr>
          <w:ilvl w:val="0"/>
          <w:numId w:val="3"/>
        </w:numPr>
        <w:ind w:left="425" w:leftChars="0" w:hanging="425" w:firstLineChars="0"/>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DO OBJETO</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 xml:space="preserve">A presente Ata tem por objeto o registro de preços para a eventual prestação de serviço de ........ , especificado(s) no(s) item(ns).......... do .......... Termo de Referência, anexo ...... do edital de </w:t>
      </w:r>
      <w:r>
        <w:rPr>
          <w:rFonts w:hint="default" w:ascii="Arial" w:hAnsi="Arial" w:cs="Arial"/>
          <w:i w:val="0"/>
          <w:iCs w:val="0"/>
          <w:color w:val="000000" w:themeColor="text1"/>
          <w:sz w:val="21"/>
          <w:szCs w:val="21"/>
          <w14:textFill>
            <w14:solidFill>
              <w14:schemeClr w14:val="tx1"/>
            </w14:solidFill>
          </w14:textFill>
        </w:rPr>
        <w:t>Pregão</w:t>
      </w:r>
      <w:r>
        <w:rPr>
          <w:rFonts w:hint="default" w:ascii="Arial" w:hAnsi="Arial" w:cs="Arial"/>
          <w:i w:val="0"/>
          <w:iCs w:val="0"/>
          <w:color w:val="000000" w:themeColor="text1"/>
          <w:sz w:val="21"/>
          <w:szCs w:val="21"/>
          <w14:textFill>
            <w14:solidFill>
              <w14:schemeClr w14:val="tx1"/>
            </w14:solidFill>
          </w14:textFill>
        </w:rPr>
        <w:t xml:space="preserve"> </w:t>
      </w:r>
      <w:r>
        <w:rPr>
          <w:rFonts w:hint="default" w:ascii="Arial" w:hAnsi="Arial" w:cs="Arial"/>
          <w:i w:val="0"/>
          <w:iCs w:val="0"/>
          <w:color w:val="000000" w:themeColor="text1"/>
          <w:sz w:val="21"/>
          <w:szCs w:val="21"/>
          <w:lang w:val="pt-BR"/>
          <w14:textFill>
            <w14:solidFill>
              <w14:schemeClr w14:val="tx1"/>
            </w14:solidFill>
          </w14:textFill>
        </w:rPr>
        <w:t xml:space="preserve">Eletrônico (SRP) </w:t>
      </w:r>
      <w:r>
        <w:rPr>
          <w:rFonts w:hint="default" w:ascii="Arial" w:hAnsi="Arial" w:cs="Arial"/>
          <w:i w:val="0"/>
          <w:iCs w:val="0"/>
          <w:color w:val="000000" w:themeColor="text1"/>
          <w:sz w:val="21"/>
          <w:szCs w:val="21"/>
          <w14:textFill>
            <w14:solidFill>
              <w14:schemeClr w14:val="tx1"/>
            </w14:solidFill>
          </w14:textFill>
        </w:rPr>
        <w:t xml:space="preserve">nº </w:t>
      </w:r>
      <w:r>
        <w:rPr>
          <w:rFonts w:hint="default" w:ascii="Arial" w:hAnsi="Arial" w:cs="Arial"/>
          <w:i w:val="0"/>
          <w:iCs w:val="0"/>
          <w:color w:val="000000" w:themeColor="text1"/>
          <w:sz w:val="21"/>
          <w:szCs w:val="21"/>
          <w:lang w:val="pt-BR"/>
          <w14:textFill>
            <w14:solidFill>
              <w14:schemeClr w14:val="tx1"/>
            </w14:solidFill>
          </w14:textFill>
        </w:rPr>
        <w:t>01</w:t>
      </w:r>
      <w:r>
        <w:rPr>
          <w:rFonts w:hint="default" w:ascii="Arial" w:hAnsi="Arial" w:cs="Arial"/>
          <w:i w:val="0"/>
          <w:iCs w:val="0"/>
          <w:color w:val="000000" w:themeColor="text1"/>
          <w:sz w:val="21"/>
          <w:szCs w:val="21"/>
          <w14:textFill>
            <w14:solidFill>
              <w14:schemeClr w14:val="tx1"/>
            </w14:solidFill>
          </w14:textFill>
        </w:rPr>
        <w:t>/20</w:t>
      </w:r>
      <w:r>
        <w:rPr>
          <w:rFonts w:hint="default" w:ascii="Arial" w:hAnsi="Arial" w:cs="Arial"/>
          <w:i w:val="0"/>
          <w:iCs w:val="0"/>
          <w:color w:val="000000" w:themeColor="text1"/>
          <w:sz w:val="21"/>
          <w:szCs w:val="21"/>
          <w:lang w:val="pt-BR"/>
          <w14:textFill>
            <w14:solidFill>
              <w14:schemeClr w14:val="tx1"/>
            </w14:solidFill>
          </w14:textFill>
        </w:rPr>
        <w:t>20</w:t>
      </w:r>
      <w:r>
        <w:rPr>
          <w:rFonts w:hint="default" w:ascii="Arial" w:hAnsi="Arial" w:cs="Arial"/>
          <w:i w:val="0"/>
          <w:iCs w:val="0"/>
          <w:color w:val="000000" w:themeColor="text1"/>
          <w:sz w:val="21"/>
          <w:szCs w:val="21"/>
          <w14:textFill>
            <w14:solidFill>
              <w14:schemeClr w14:val="tx1"/>
            </w14:solidFill>
          </w14:textFill>
        </w:rPr>
        <w:t>, que é parte integrante desta Ata, assim como a proposta vencedora, independentemente de transcrição.</w:t>
      </w:r>
    </w:p>
    <w:p>
      <w:pPr>
        <w:numPr>
          <w:ilvl w:val="0"/>
          <w:numId w:val="4"/>
        </w:numPr>
        <w:autoSpaceDE w:val="0"/>
        <w:autoSpaceDN w:val="0"/>
        <w:adjustRightInd w:val="0"/>
        <w:spacing w:before="120" w:after="120" w:line="276" w:lineRule="auto"/>
        <w:ind w:left="5" w:leftChars="0" w:firstLine="0"/>
        <w:jc w:val="both"/>
        <w:rPr>
          <w:rFonts w:hint="default" w:ascii="Arial" w:hAnsi="Arial" w:cs="Arial"/>
          <w:b/>
          <w:bCs/>
          <w:i w:val="0"/>
          <w:iCs w:val="0"/>
          <w:color w:val="000000" w:themeColor="text1"/>
          <w:sz w:val="21"/>
          <w:szCs w:val="21"/>
          <w14:textFill>
            <w14:solidFill>
              <w14:schemeClr w14:val="tx1"/>
            </w14:solidFill>
          </w14:textFill>
        </w:rPr>
      </w:pPr>
      <w:r>
        <w:rPr>
          <w:rFonts w:hint="default" w:ascii="Arial" w:hAnsi="Arial" w:cs="Arial"/>
          <w:b/>
          <w:bCs/>
          <w:i w:val="0"/>
          <w:iCs w:val="0"/>
          <w:color w:val="000000" w:themeColor="text1"/>
          <w:sz w:val="21"/>
          <w:szCs w:val="21"/>
          <w14:textFill>
            <w14:solidFill>
              <w14:schemeClr w14:val="tx1"/>
            </w14:solidFill>
          </w14:textFill>
        </w:rPr>
        <w:t>DOS PREÇOS, ESPECIFICAÇÕES E QUANTITATIVOS</w:t>
      </w:r>
    </w:p>
    <w:p>
      <w:pPr>
        <w:numPr>
          <w:ilvl w:val="1"/>
          <w:numId w:val="4"/>
        </w:numPr>
        <w:autoSpaceDE w:val="0"/>
        <w:autoSpaceDN w:val="0"/>
        <w:adjustRightInd w:val="0"/>
        <w:spacing w:before="120" w:after="120" w:line="276" w:lineRule="auto"/>
        <w:ind w:left="425" w:leftChars="0" w:firstLine="0"/>
        <w:jc w:val="both"/>
        <w:rPr>
          <w:rFonts w:hint="default" w:ascii="Arial" w:hAnsi="Arial" w:cs="Arial"/>
          <w:i w:val="0"/>
          <w:iCs w:val="0"/>
          <w:color w:val="000000" w:themeColor="text1"/>
          <w:sz w:val="21"/>
          <w:szCs w:val="21"/>
          <w14:textFill>
            <w14:solidFill>
              <w14:schemeClr w14:val="tx1"/>
            </w14:solidFill>
          </w14:textFill>
        </w:rPr>
      </w:pPr>
      <w:r>
        <w:rPr>
          <w:rFonts w:hint="default" w:cs="Arial"/>
          <w:i w:val="0"/>
          <w:iCs w:val="0"/>
          <w:color w:val="000000" w:themeColor="text1"/>
          <w:sz w:val="21"/>
          <w:szCs w:val="21"/>
          <w:lang w:val="pt-BR"/>
          <w14:textFill>
            <w14:solidFill>
              <w14:schemeClr w14:val="tx1"/>
            </w14:solidFill>
          </w14:textFill>
        </w:rPr>
        <w:t>O</w:t>
      </w:r>
      <w:r>
        <w:rPr>
          <w:rFonts w:hint="default" w:ascii="Arial" w:hAnsi="Arial" w:cs="Arial"/>
          <w:i w:val="0"/>
          <w:iCs w:val="0"/>
          <w:color w:val="000000" w:themeColor="text1"/>
          <w:sz w:val="21"/>
          <w:szCs w:val="21"/>
          <w14:textFill>
            <w14:solidFill>
              <w14:schemeClr w14:val="tx1"/>
            </w14:solidFill>
          </w14:textFill>
        </w:rPr>
        <w:t xml:space="preserve"> preço registrado, as especificações do objeto e as demais condições ofertadas na(s) proposta(s) são as que seguem: </w:t>
      </w:r>
    </w:p>
    <w:p>
      <w:pPr>
        <w:widowControl w:val="0"/>
        <w:tabs>
          <w:tab w:val="left" w:pos="2850"/>
        </w:tabs>
        <w:autoSpaceDE w:val="0"/>
        <w:autoSpaceDN w:val="0"/>
        <w:adjustRightInd w:val="0"/>
        <w:ind w:left="792"/>
        <w:jc w:val="both"/>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ab/>
      </w:r>
    </w:p>
    <w:tbl>
      <w:tblPr>
        <w:tblStyle w:val="15"/>
        <w:tblW w:w="90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3967"/>
        <w:gridCol w:w="1140"/>
        <w:gridCol w:w="1375"/>
        <w:gridCol w:w="16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22" w:type="dxa"/>
            <w:gridSpan w:val="5"/>
            <w:tcBorders>
              <w:top w:val="single" w:color="000000" w:sz="4" w:space="0"/>
              <w:left w:val="single" w:color="000000" w:sz="4" w:space="0"/>
              <w:bottom w:val="single" w:color="000000" w:sz="4" w:space="0"/>
              <w:right w:val="single" w:color="000000" w:sz="4" w:space="0"/>
            </w:tcBorders>
          </w:tcPr>
          <w:p>
            <w:pPr>
              <w:widowControl w:val="0"/>
              <w:suppressAutoHyphens/>
              <w:jc w:val="center"/>
              <w:rPr>
                <w:rFonts w:hint="default" w:ascii="Arial" w:hAnsi="Arial" w:cs="Arial"/>
                <w:bCs/>
                <w:i w:val="0"/>
                <w:iCs w:val="0"/>
                <w:color w:val="000000" w:themeColor="text1"/>
                <w:sz w:val="18"/>
                <w:szCs w:val="18"/>
                <w14:textFill>
                  <w14:solidFill>
                    <w14:schemeClr w14:val="tx1"/>
                  </w14:solidFill>
                </w14:textFill>
              </w:rPr>
            </w:pPr>
            <w:r>
              <w:rPr>
                <w:rFonts w:hint="default" w:ascii="Arial" w:hAnsi="Arial" w:cs="Arial"/>
                <w:bCs/>
                <w:i w:val="0"/>
                <w:iCs w:val="0"/>
                <w:color w:val="000000" w:themeColor="text1"/>
                <w:sz w:val="18"/>
                <w:szCs w:val="18"/>
                <w14:textFill>
                  <w14:solidFill>
                    <w14:schemeClr w14:val="tx1"/>
                  </w14:solidFill>
                </w14:textFill>
              </w:rPr>
              <w:t xml:space="preserve">Prestador do serviço </w:t>
            </w:r>
            <w:r>
              <w:rPr>
                <w:rFonts w:hint="default" w:ascii="Arial" w:hAnsi="Arial" w:cs="Arial"/>
                <w:bCs/>
                <w:i w:val="0"/>
                <w:iCs w:val="0"/>
                <w:color w:val="000000" w:themeColor="text1"/>
                <w:sz w:val="18"/>
                <w:szCs w:val="18"/>
                <w14:textFill>
                  <w14:solidFill>
                    <w14:schemeClr w14:val="tx1"/>
                  </w14:solidFill>
                </w14:textFill>
              </w:rPr>
              <w:t>(razão social, CNPJ/MF, endereço, contatos, representante)</w:t>
            </w:r>
          </w:p>
          <w:p>
            <w:pPr>
              <w:widowControl w:val="0"/>
              <w:suppressAutoHyphens/>
              <w:jc w:val="center"/>
              <w:rPr>
                <w:rFonts w:hint="default" w:ascii="Arial" w:hAnsi="Arial" w:cs="Arial"/>
                <w:bCs/>
                <w:i w:val="0"/>
                <w:iCs w:val="0"/>
                <w:color w:val="000000" w:themeColor="text1"/>
                <w:sz w:val="18"/>
                <w:szCs w:val="1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Arial" w:hAnsi="Arial" w:cs="Arial"/>
                <w:bCs/>
                <w:i w:val="0"/>
                <w:iCs w:val="0"/>
                <w:color w:val="000000" w:themeColor="text1"/>
                <w:sz w:val="18"/>
                <w:szCs w:val="18"/>
                <w14:textFill>
                  <w14:solidFill>
                    <w14:schemeClr w14:val="tx1"/>
                  </w14:solidFill>
                </w14:textFill>
              </w:rPr>
            </w:pPr>
            <w:r>
              <w:rPr>
                <w:rFonts w:hint="default" w:ascii="Arial" w:hAnsi="Arial" w:cs="Arial"/>
                <w:bCs/>
                <w:i w:val="0"/>
                <w:iCs w:val="0"/>
                <w:color w:val="000000" w:themeColor="text1"/>
                <w:sz w:val="18"/>
                <w:szCs w:val="18"/>
                <w14:textFill>
                  <w14:solidFill>
                    <w14:schemeClr w14:val="tx1"/>
                  </w14:solidFill>
                </w14:textFill>
              </w:rPr>
              <w:t>ITEM</w:t>
            </w:r>
          </w:p>
          <w:p>
            <w:pPr>
              <w:widowControl w:val="0"/>
              <w:suppressAutoHyphens/>
              <w:jc w:val="center"/>
              <w:rPr>
                <w:rFonts w:hint="default" w:ascii="Arial" w:hAnsi="Arial" w:cs="Arial"/>
                <w:i w:val="0"/>
                <w:iCs w:val="0"/>
                <w:color w:val="000000" w:themeColor="text1"/>
                <w:sz w:val="18"/>
                <w:szCs w:val="18"/>
                <w14:textFill>
                  <w14:solidFill>
                    <w14:schemeClr w14:val="tx1"/>
                  </w14:solidFill>
                </w14:textFill>
              </w:rPr>
            </w:pPr>
          </w:p>
        </w:tc>
        <w:tc>
          <w:tcPr>
            <w:tcW w:w="396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Arial" w:hAnsi="Arial" w:cs="Arial"/>
                <w:bCs/>
                <w:i w:val="0"/>
                <w:iCs w:val="0"/>
                <w:color w:val="000000" w:themeColor="text1"/>
                <w:sz w:val="18"/>
                <w:szCs w:val="18"/>
                <w14:textFill>
                  <w14:solidFill>
                    <w14:schemeClr w14:val="tx1"/>
                  </w14:solidFill>
                </w14:textFill>
              </w:rPr>
            </w:pPr>
            <w:r>
              <w:rPr>
                <w:rFonts w:hint="default" w:ascii="Arial" w:hAnsi="Arial" w:cs="Arial"/>
                <w:bCs/>
                <w:i w:val="0"/>
                <w:iCs w:val="0"/>
                <w:color w:val="000000" w:themeColor="text1"/>
                <w:sz w:val="18"/>
                <w:szCs w:val="18"/>
                <w14:textFill>
                  <w14:solidFill>
                    <w14:schemeClr w14:val="tx1"/>
                  </w14:solidFill>
                </w14:textFill>
              </w:rPr>
              <w:t>DESCRIÇÃO/</w:t>
            </w:r>
          </w:p>
          <w:p>
            <w:pPr>
              <w:widowControl w:val="0"/>
              <w:suppressAutoHyphens/>
              <w:jc w:val="center"/>
              <w:rPr>
                <w:rFonts w:hint="default" w:ascii="Arial" w:hAnsi="Arial" w:cs="Arial"/>
                <w:i w:val="0"/>
                <w:iCs w:val="0"/>
                <w:color w:val="000000" w:themeColor="text1"/>
                <w:sz w:val="18"/>
                <w:szCs w:val="18"/>
                <w14:textFill>
                  <w14:solidFill>
                    <w14:schemeClr w14:val="tx1"/>
                  </w14:solidFill>
                </w14:textFill>
              </w:rPr>
            </w:pPr>
            <w:r>
              <w:rPr>
                <w:rFonts w:hint="default" w:ascii="Arial" w:hAnsi="Arial" w:cs="Arial"/>
                <w:bCs/>
                <w:i w:val="0"/>
                <w:iCs w:val="0"/>
                <w:color w:val="000000" w:themeColor="text1"/>
                <w:sz w:val="18"/>
                <w:szCs w:val="18"/>
                <w14:textFill>
                  <w14:solidFill>
                    <w14:schemeClr w14:val="tx1"/>
                  </w14:solidFill>
                </w14:textFill>
              </w:rPr>
              <w:t>ESPECIFICAÇÃO</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Arial" w:hAnsi="Arial" w:cs="Arial"/>
                <w:bCs/>
                <w:i w:val="0"/>
                <w:iCs w:val="0"/>
                <w:color w:val="000000" w:themeColor="text1"/>
                <w:sz w:val="18"/>
                <w:szCs w:val="18"/>
                <w14:textFill>
                  <w14:solidFill>
                    <w14:schemeClr w14:val="tx1"/>
                  </w14:solidFill>
                </w14:textFill>
              </w:rPr>
            </w:pPr>
            <w:r>
              <w:rPr>
                <w:rFonts w:hint="default" w:ascii="Arial" w:hAnsi="Arial" w:cs="Arial"/>
                <w:bCs/>
                <w:i w:val="0"/>
                <w:iCs w:val="0"/>
                <w:color w:val="000000" w:themeColor="text1"/>
                <w:sz w:val="18"/>
                <w:szCs w:val="18"/>
                <w14:textFill>
                  <w14:solidFill>
                    <w14:schemeClr w14:val="tx1"/>
                  </w14:solidFill>
                </w14:textFill>
              </w:rPr>
              <w:t>Unidade de Medida</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Arial" w:hAnsi="Arial" w:cs="Arial"/>
                <w:bCs/>
                <w:i w:val="0"/>
                <w:iCs w:val="0"/>
                <w:color w:val="000000" w:themeColor="text1"/>
                <w:sz w:val="18"/>
                <w:szCs w:val="18"/>
                <w14:textFill>
                  <w14:solidFill>
                    <w14:schemeClr w14:val="tx1"/>
                  </w14:solidFill>
                </w14:textFill>
              </w:rPr>
            </w:pPr>
            <w:r>
              <w:rPr>
                <w:rFonts w:hint="default" w:ascii="Arial" w:hAnsi="Arial" w:cs="Arial"/>
                <w:bCs/>
                <w:i w:val="0"/>
                <w:iCs w:val="0"/>
                <w:color w:val="000000" w:themeColor="text1"/>
                <w:sz w:val="18"/>
                <w:szCs w:val="18"/>
                <w14:textFill>
                  <w14:solidFill>
                    <w14:schemeClr w14:val="tx1"/>
                  </w14:solidFill>
                </w14:textFill>
              </w:rPr>
              <w:t>Quantidade</w:t>
            </w:r>
          </w:p>
        </w:tc>
        <w:tc>
          <w:tcPr>
            <w:tcW w:w="1689"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Arial" w:hAnsi="Arial" w:cs="Arial"/>
                <w:bCs/>
                <w:i w:val="0"/>
                <w:iCs w:val="0"/>
                <w:color w:val="000000" w:themeColor="text1"/>
                <w:sz w:val="18"/>
                <w:szCs w:val="18"/>
                <w14:textFill>
                  <w14:solidFill>
                    <w14:schemeClr w14:val="tx1"/>
                  </w14:solidFill>
                </w14:textFill>
              </w:rPr>
            </w:pPr>
            <w:r>
              <w:rPr>
                <w:rFonts w:hint="default" w:ascii="Arial" w:hAnsi="Arial" w:cs="Arial"/>
                <w:bCs/>
                <w:i w:val="0"/>
                <w:iCs w:val="0"/>
                <w:color w:val="000000" w:themeColor="text1"/>
                <w:sz w:val="18"/>
                <w:szCs w:val="18"/>
                <w14:textFill>
                  <w14:solidFill>
                    <w14:schemeClr w14:val="tx1"/>
                  </w14:solidFill>
                </w14:textFill>
              </w:rPr>
              <w:t xml:space="preserve">Valor Unitário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jc w:val="center"/>
              <w:rPr>
                <w:rFonts w:hint="default" w:ascii="Arial" w:hAnsi="Arial" w:cs="Arial"/>
                <w:i w:val="0"/>
                <w:iCs w:val="0"/>
                <w:color w:val="000000" w:themeColor="text1"/>
                <w:sz w:val="18"/>
                <w:szCs w:val="18"/>
                <w14:textFill>
                  <w14:solidFill>
                    <w14:schemeClr w14:val="tx1"/>
                  </w14:solidFill>
                </w14:textFill>
              </w:rPr>
            </w:pPr>
            <w:r>
              <w:rPr>
                <w:rFonts w:hint="default" w:ascii="Arial" w:hAnsi="Arial" w:cs="Arial"/>
                <w:i w:val="0"/>
                <w:iCs w:val="0"/>
                <w:color w:val="000000" w:themeColor="text1"/>
                <w:sz w:val="18"/>
                <w:szCs w:val="18"/>
                <w14:textFill>
                  <w14:solidFill>
                    <w14:schemeClr w14:val="tx1"/>
                  </w14:solidFill>
                </w14:textFill>
              </w:rPr>
              <w:t>1</w:t>
            </w:r>
          </w:p>
        </w:tc>
        <w:tc>
          <w:tcPr>
            <w:tcW w:w="3967"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c>
          <w:tcPr>
            <w:tcW w:w="1140"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c>
          <w:tcPr>
            <w:tcW w:w="1375"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c>
          <w:tcPr>
            <w:tcW w:w="1689"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jc w:val="center"/>
              <w:rPr>
                <w:rFonts w:hint="default" w:ascii="Arial" w:hAnsi="Arial" w:cs="Arial"/>
                <w:i w:val="0"/>
                <w:iCs w:val="0"/>
                <w:color w:val="000000" w:themeColor="text1"/>
                <w:sz w:val="18"/>
                <w:szCs w:val="18"/>
                <w14:textFill>
                  <w14:solidFill>
                    <w14:schemeClr w14:val="tx1"/>
                  </w14:solidFill>
                </w14:textFill>
              </w:rPr>
            </w:pPr>
            <w:r>
              <w:rPr>
                <w:rFonts w:hint="default" w:ascii="Arial" w:hAnsi="Arial" w:cs="Arial"/>
                <w:i w:val="0"/>
                <w:iCs w:val="0"/>
                <w:color w:val="000000" w:themeColor="text1"/>
                <w:sz w:val="18"/>
                <w:szCs w:val="18"/>
                <w14:textFill>
                  <w14:solidFill>
                    <w14:schemeClr w14:val="tx1"/>
                  </w14:solidFill>
                </w14:textFill>
              </w:rPr>
              <w:t>2</w:t>
            </w:r>
          </w:p>
        </w:tc>
        <w:tc>
          <w:tcPr>
            <w:tcW w:w="3967"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c>
          <w:tcPr>
            <w:tcW w:w="1140"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c>
          <w:tcPr>
            <w:tcW w:w="1375"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c>
          <w:tcPr>
            <w:tcW w:w="1689"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jc w:val="center"/>
              <w:rPr>
                <w:rFonts w:hint="default" w:ascii="Arial" w:hAnsi="Arial" w:cs="Arial"/>
                <w:i w:val="0"/>
                <w:iCs w:val="0"/>
                <w:color w:val="000000" w:themeColor="text1"/>
                <w:sz w:val="18"/>
                <w:szCs w:val="18"/>
                <w14:textFill>
                  <w14:solidFill>
                    <w14:schemeClr w14:val="tx1"/>
                  </w14:solidFill>
                </w14:textFill>
              </w:rPr>
            </w:pPr>
            <w:r>
              <w:rPr>
                <w:rFonts w:hint="default" w:ascii="Arial" w:hAnsi="Arial" w:cs="Arial"/>
                <w:i w:val="0"/>
                <w:iCs w:val="0"/>
                <w:color w:val="000000" w:themeColor="text1"/>
                <w:sz w:val="18"/>
                <w:szCs w:val="18"/>
                <w14:textFill>
                  <w14:solidFill>
                    <w14:schemeClr w14:val="tx1"/>
                  </w14:solidFill>
                </w14:textFill>
              </w:rPr>
              <w:t>3</w:t>
            </w:r>
          </w:p>
        </w:tc>
        <w:tc>
          <w:tcPr>
            <w:tcW w:w="3967"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c>
          <w:tcPr>
            <w:tcW w:w="1140"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c>
          <w:tcPr>
            <w:tcW w:w="1375"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c>
          <w:tcPr>
            <w:tcW w:w="1689"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jc w:val="center"/>
              <w:rPr>
                <w:rFonts w:hint="default" w:ascii="Arial" w:hAnsi="Arial" w:cs="Arial"/>
                <w:i w:val="0"/>
                <w:iCs w:val="0"/>
                <w:color w:val="000000" w:themeColor="text1"/>
                <w:sz w:val="18"/>
                <w:szCs w:val="18"/>
                <w14:textFill>
                  <w14:solidFill>
                    <w14:schemeClr w14:val="tx1"/>
                  </w14:solidFill>
                </w14:textFill>
              </w:rPr>
            </w:pPr>
            <w:r>
              <w:rPr>
                <w:rFonts w:hint="default" w:ascii="Arial" w:hAnsi="Arial" w:cs="Arial"/>
                <w:i w:val="0"/>
                <w:iCs w:val="0"/>
                <w:color w:val="000000" w:themeColor="text1"/>
                <w:sz w:val="18"/>
                <w:szCs w:val="18"/>
                <w14:textFill>
                  <w14:solidFill>
                    <w14:schemeClr w14:val="tx1"/>
                  </w14:solidFill>
                </w14:textFill>
              </w:rPr>
              <w:t>...</w:t>
            </w:r>
          </w:p>
        </w:tc>
        <w:tc>
          <w:tcPr>
            <w:tcW w:w="3967"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c>
          <w:tcPr>
            <w:tcW w:w="1140"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c>
          <w:tcPr>
            <w:tcW w:w="1375"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c>
          <w:tcPr>
            <w:tcW w:w="1689" w:type="dxa"/>
            <w:tcBorders>
              <w:top w:val="single" w:color="000000" w:sz="4" w:space="0"/>
              <w:left w:val="single" w:color="000000" w:sz="4" w:space="0"/>
              <w:bottom w:val="single" w:color="000000" w:sz="4" w:space="0"/>
              <w:right w:val="single" w:color="000000" w:sz="4" w:space="0"/>
            </w:tcBorders>
          </w:tcPr>
          <w:p>
            <w:pPr>
              <w:widowControl w:val="0"/>
              <w:suppressAutoHyphens/>
              <w:spacing w:after="120" w:line="276" w:lineRule="auto"/>
              <w:rPr>
                <w:rFonts w:hint="default" w:ascii="Arial" w:hAnsi="Arial" w:cs="Arial"/>
                <w:i w:val="0"/>
                <w:iCs w:val="0"/>
                <w:color w:val="000000" w:themeColor="text1"/>
                <w:sz w:val="18"/>
                <w:szCs w:val="18"/>
                <w14:textFill>
                  <w14:solidFill>
                    <w14:schemeClr w14:val="tx1"/>
                  </w14:solidFill>
                </w14:textFill>
              </w:rPr>
            </w:pPr>
          </w:p>
        </w:tc>
      </w:tr>
    </w:tbl>
    <w:p>
      <w:pPr>
        <w:numPr>
          <w:ilvl w:val="0"/>
          <w:numId w:val="0"/>
        </w:numPr>
        <w:autoSpaceDE w:val="0"/>
        <w:autoSpaceDN w:val="0"/>
        <w:adjustRightInd w:val="0"/>
        <w:spacing w:before="120" w:after="120" w:line="276" w:lineRule="auto"/>
        <w:ind w:left="425" w:leftChars="0"/>
        <w:jc w:val="both"/>
        <w:rPr>
          <w:rFonts w:hint="default" w:ascii="Arial" w:hAnsi="Arial" w:cs="Arial"/>
          <w:i w:val="0"/>
          <w:iCs w:val="0"/>
          <w:color w:val="000000" w:themeColor="text1"/>
          <w:sz w:val="21"/>
          <w:szCs w:val="21"/>
          <w:lang w:eastAsia="en-US"/>
          <w14:textFill>
            <w14:solidFill>
              <w14:schemeClr w14:val="tx1"/>
            </w14:solidFill>
          </w14:textFill>
        </w:rPr>
      </w:pPr>
    </w:p>
    <w:p>
      <w:pPr>
        <w:numPr>
          <w:ilvl w:val="0"/>
          <w:numId w:val="4"/>
        </w:numPr>
        <w:autoSpaceDE w:val="0"/>
        <w:autoSpaceDN w:val="0"/>
        <w:adjustRightInd w:val="0"/>
        <w:spacing w:before="120" w:after="120" w:line="276" w:lineRule="auto"/>
        <w:ind w:left="5" w:leftChars="0" w:firstLine="0"/>
        <w:jc w:val="both"/>
        <w:rPr>
          <w:rFonts w:hint="default" w:ascii="Arial" w:hAnsi="Arial" w:cs="Arial"/>
          <w:b/>
          <w:bCs/>
          <w:i w:val="0"/>
          <w:iCs w:val="0"/>
          <w:color w:val="000000" w:themeColor="text1"/>
          <w:sz w:val="21"/>
          <w:szCs w:val="21"/>
          <w14:textFill>
            <w14:solidFill>
              <w14:schemeClr w14:val="tx1"/>
            </w14:solidFill>
          </w14:textFill>
        </w:rPr>
      </w:pPr>
      <w:r>
        <w:rPr>
          <w:rFonts w:hint="default" w:ascii="Arial" w:hAnsi="Arial" w:cs="Arial"/>
          <w:b/>
          <w:bCs/>
          <w:i w:val="0"/>
          <w:iCs w:val="0"/>
          <w:color w:val="000000" w:themeColor="text1"/>
          <w:sz w:val="21"/>
          <w:szCs w:val="21"/>
          <w14:textFill>
            <w14:solidFill>
              <w14:schemeClr w14:val="tx1"/>
            </w14:solidFill>
          </w14:textFill>
        </w:rPr>
        <w:t>ÓRGÃO(S) GERENCIADOR E PARTICIPANTE(S)</w:t>
      </w:r>
    </w:p>
    <w:p>
      <w:pPr>
        <w:numPr>
          <w:ilvl w:val="1"/>
          <w:numId w:val="4"/>
        </w:numPr>
        <w:spacing w:before="120" w:after="120" w:line="276" w:lineRule="auto"/>
        <w:jc w:val="both"/>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O órgão gerenciador será o ......(nome do órgão)....</w:t>
      </w:r>
    </w:p>
    <w:p>
      <w:pPr>
        <w:numPr>
          <w:ilvl w:val="1"/>
          <w:numId w:val="4"/>
        </w:numPr>
        <w:spacing w:before="120" w:after="120" w:line="276" w:lineRule="auto"/>
        <w:jc w:val="both"/>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São órgãos e entidades públicas participantes do registro de preços:</w:t>
      </w:r>
    </w:p>
    <w:p>
      <w:pPr>
        <w:widowControl w:val="0"/>
        <w:tabs>
          <w:tab w:val="left" w:pos="2093"/>
        </w:tabs>
        <w:autoSpaceDE w:val="0"/>
        <w:autoSpaceDN w:val="0"/>
        <w:adjustRightInd w:val="0"/>
        <w:spacing w:before="240"/>
        <w:ind w:left="792" w:right="-30"/>
        <w:jc w:val="both"/>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ab/>
      </w:r>
    </w:p>
    <w:tbl>
      <w:tblPr>
        <w:tblStyle w:val="15"/>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8"/>
        <w:gridCol w:w="6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8" w:type="dxa"/>
          </w:tcPr>
          <w:p>
            <w:pPr>
              <w:widowControl w:val="0"/>
              <w:autoSpaceDE w:val="0"/>
              <w:autoSpaceDN w:val="0"/>
              <w:adjustRightInd w:val="0"/>
              <w:ind w:right="-30"/>
              <w:jc w:val="center"/>
              <w:rPr>
                <w:rFonts w:hint="default" w:ascii="Arial" w:hAnsi="Arial" w:cs="Arial"/>
                <w:i w:val="0"/>
                <w:iCs w:val="0"/>
                <w:color w:val="000000" w:themeColor="text1"/>
                <w:sz w:val="18"/>
                <w:szCs w:val="18"/>
                <w14:textFill>
                  <w14:solidFill>
                    <w14:schemeClr w14:val="tx1"/>
                  </w14:solidFill>
                </w14:textFill>
              </w:rPr>
            </w:pPr>
            <w:r>
              <w:rPr>
                <w:rFonts w:hint="default" w:ascii="Arial" w:hAnsi="Arial" w:cs="Arial"/>
                <w:i w:val="0"/>
                <w:iCs w:val="0"/>
                <w:color w:val="000000" w:themeColor="text1"/>
                <w:sz w:val="18"/>
                <w:szCs w:val="18"/>
                <w14:textFill>
                  <w14:solidFill>
                    <w14:schemeClr w14:val="tx1"/>
                  </w14:solidFill>
                </w14:textFill>
              </w:rPr>
              <w:t xml:space="preserve">Item nº </w:t>
            </w:r>
          </w:p>
        </w:tc>
        <w:tc>
          <w:tcPr>
            <w:tcW w:w="6607" w:type="dxa"/>
          </w:tcPr>
          <w:p>
            <w:pPr>
              <w:widowControl w:val="0"/>
              <w:autoSpaceDE w:val="0"/>
              <w:autoSpaceDN w:val="0"/>
              <w:adjustRightInd w:val="0"/>
              <w:ind w:right="-30"/>
              <w:jc w:val="center"/>
              <w:rPr>
                <w:rFonts w:hint="default" w:ascii="Arial" w:hAnsi="Arial" w:cs="Arial"/>
                <w:i w:val="0"/>
                <w:iCs w:val="0"/>
                <w:color w:val="000000" w:themeColor="text1"/>
                <w:sz w:val="18"/>
                <w:szCs w:val="18"/>
                <w14:textFill>
                  <w14:solidFill>
                    <w14:schemeClr w14:val="tx1"/>
                  </w14:solidFill>
                </w14:textFill>
              </w:rPr>
            </w:pPr>
            <w:r>
              <w:rPr>
                <w:rFonts w:hint="default" w:ascii="Arial" w:hAnsi="Arial" w:cs="Arial"/>
                <w:i w:val="0"/>
                <w:iCs w:val="0"/>
                <w:color w:val="000000" w:themeColor="text1"/>
                <w:sz w:val="18"/>
                <w:szCs w:val="18"/>
                <w14:textFill>
                  <w14:solidFill>
                    <w14:schemeClr w14:val="tx1"/>
                  </w14:solidFill>
                </w14:textFill>
              </w:rPr>
              <w:t>Órgãos Participantes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8" w:type="dxa"/>
          </w:tcPr>
          <w:p>
            <w:pPr>
              <w:widowControl w:val="0"/>
              <w:autoSpaceDE w:val="0"/>
              <w:autoSpaceDN w:val="0"/>
              <w:adjustRightInd w:val="0"/>
              <w:ind w:right="-30"/>
              <w:jc w:val="center"/>
              <w:rPr>
                <w:rFonts w:hint="default" w:ascii="Arial" w:hAnsi="Arial" w:cs="Arial"/>
                <w:i w:val="0"/>
                <w:iCs w:val="0"/>
                <w:color w:val="000000" w:themeColor="text1"/>
                <w:sz w:val="18"/>
                <w:szCs w:val="18"/>
                <w14:textFill>
                  <w14:solidFill>
                    <w14:schemeClr w14:val="tx1"/>
                  </w14:solidFill>
                </w14:textFill>
              </w:rPr>
            </w:pPr>
          </w:p>
        </w:tc>
        <w:tc>
          <w:tcPr>
            <w:tcW w:w="6607" w:type="dxa"/>
          </w:tcPr>
          <w:p>
            <w:pPr>
              <w:widowControl w:val="0"/>
              <w:autoSpaceDE w:val="0"/>
              <w:autoSpaceDN w:val="0"/>
              <w:adjustRightInd w:val="0"/>
              <w:ind w:right="-30"/>
              <w:jc w:val="center"/>
              <w:rPr>
                <w:rFonts w:hint="default" w:ascii="Arial" w:hAnsi="Arial" w:cs="Arial"/>
                <w:i w:val="0"/>
                <w:iC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8" w:type="dxa"/>
          </w:tcPr>
          <w:p>
            <w:pPr>
              <w:widowControl w:val="0"/>
              <w:autoSpaceDE w:val="0"/>
              <w:autoSpaceDN w:val="0"/>
              <w:adjustRightInd w:val="0"/>
              <w:ind w:right="-30"/>
              <w:jc w:val="center"/>
              <w:rPr>
                <w:rFonts w:hint="default" w:ascii="Arial" w:hAnsi="Arial" w:cs="Arial"/>
                <w:i w:val="0"/>
                <w:iCs w:val="0"/>
                <w:color w:val="000000" w:themeColor="text1"/>
                <w:sz w:val="18"/>
                <w:szCs w:val="18"/>
                <w14:textFill>
                  <w14:solidFill>
                    <w14:schemeClr w14:val="tx1"/>
                  </w14:solidFill>
                </w14:textFill>
              </w:rPr>
            </w:pPr>
          </w:p>
        </w:tc>
        <w:tc>
          <w:tcPr>
            <w:tcW w:w="6607" w:type="dxa"/>
          </w:tcPr>
          <w:p>
            <w:pPr>
              <w:widowControl w:val="0"/>
              <w:autoSpaceDE w:val="0"/>
              <w:autoSpaceDN w:val="0"/>
              <w:adjustRightInd w:val="0"/>
              <w:ind w:right="-30"/>
              <w:jc w:val="center"/>
              <w:rPr>
                <w:rFonts w:hint="default" w:ascii="Arial" w:hAnsi="Arial" w:cs="Arial"/>
                <w:i w:val="0"/>
                <w:iCs w:val="0"/>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8" w:type="dxa"/>
          </w:tcPr>
          <w:p>
            <w:pPr>
              <w:widowControl w:val="0"/>
              <w:autoSpaceDE w:val="0"/>
              <w:autoSpaceDN w:val="0"/>
              <w:adjustRightInd w:val="0"/>
              <w:ind w:right="-30"/>
              <w:jc w:val="center"/>
              <w:rPr>
                <w:rFonts w:hint="default" w:ascii="Arial" w:hAnsi="Arial" w:cs="Arial"/>
                <w:i w:val="0"/>
                <w:iCs w:val="0"/>
                <w:color w:val="000000" w:themeColor="text1"/>
                <w:sz w:val="18"/>
                <w:szCs w:val="18"/>
                <w14:textFill>
                  <w14:solidFill>
                    <w14:schemeClr w14:val="tx1"/>
                  </w14:solidFill>
                </w14:textFill>
              </w:rPr>
            </w:pPr>
          </w:p>
        </w:tc>
        <w:tc>
          <w:tcPr>
            <w:tcW w:w="6607" w:type="dxa"/>
          </w:tcPr>
          <w:p>
            <w:pPr>
              <w:widowControl w:val="0"/>
              <w:autoSpaceDE w:val="0"/>
              <w:autoSpaceDN w:val="0"/>
              <w:adjustRightInd w:val="0"/>
              <w:ind w:right="-30"/>
              <w:jc w:val="center"/>
              <w:rPr>
                <w:rFonts w:hint="default" w:ascii="Arial" w:hAnsi="Arial" w:cs="Arial"/>
                <w:i w:val="0"/>
                <w:iCs w:val="0"/>
                <w:color w:val="000000" w:themeColor="text1"/>
                <w:sz w:val="18"/>
                <w:szCs w:val="18"/>
                <w14:textFill>
                  <w14:solidFill>
                    <w14:schemeClr w14:val="tx1"/>
                  </w14:solidFill>
                </w14:textFill>
              </w:rPr>
            </w:pPr>
          </w:p>
        </w:tc>
      </w:tr>
    </w:tbl>
    <w:p>
      <w:pPr>
        <w:widowControl w:val="0"/>
        <w:autoSpaceDE w:val="0"/>
        <w:autoSpaceDN w:val="0"/>
        <w:adjustRightInd w:val="0"/>
        <w:ind w:right="-30"/>
        <w:jc w:val="both"/>
        <w:rPr>
          <w:rFonts w:hint="default" w:ascii="Arial" w:hAnsi="Arial" w:cs="Arial"/>
          <w:i w:val="0"/>
          <w:iCs w:val="0"/>
          <w:color w:val="000000" w:themeColor="text1"/>
          <w:sz w:val="21"/>
          <w:szCs w:val="21"/>
          <w14:textFill>
            <w14:solidFill>
              <w14:schemeClr w14:val="tx1"/>
            </w14:solidFill>
          </w14:textFill>
        </w:rPr>
      </w:pPr>
    </w:p>
    <w:p>
      <w:pPr>
        <w:numPr>
          <w:ilvl w:val="0"/>
          <w:numId w:val="4"/>
        </w:numPr>
        <w:autoSpaceDE w:val="0"/>
        <w:autoSpaceDN w:val="0"/>
        <w:adjustRightInd w:val="0"/>
        <w:spacing w:before="120" w:after="120" w:line="276" w:lineRule="auto"/>
        <w:ind w:left="5" w:leftChars="0" w:firstLine="0"/>
        <w:jc w:val="both"/>
        <w:rPr>
          <w:rFonts w:hint="default" w:ascii="Arial" w:hAnsi="Arial" w:cs="Arial"/>
          <w:b/>
          <w:bCs/>
          <w:i w:val="0"/>
          <w:iCs w:val="0"/>
          <w:color w:val="000000" w:themeColor="text1"/>
          <w:sz w:val="21"/>
          <w:szCs w:val="21"/>
          <w:lang w:eastAsia="en-US"/>
          <w14:textFill>
            <w14:solidFill>
              <w14:schemeClr w14:val="tx1"/>
            </w14:solidFill>
          </w14:textFill>
        </w:rPr>
      </w:pPr>
      <w:r>
        <w:rPr>
          <w:rFonts w:hint="default" w:ascii="Arial" w:hAnsi="Arial" w:cs="Arial"/>
          <w:b/>
          <w:bCs/>
          <w:i w:val="0"/>
          <w:iCs w:val="0"/>
          <w:color w:val="000000" w:themeColor="text1"/>
          <w:sz w:val="21"/>
          <w:szCs w:val="21"/>
          <w:lang w:eastAsia="en-US"/>
          <w14:textFill>
            <w14:solidFill>
              <w14:schemeClr w14:val="tx1"/>
            </w14:solidFill>
          </w14:textFill>
        </w:rPr>
        <w:t xml:space="preserve">DA ADESÃO À ATA DE REGISTRO DE PREÇOS </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numPr>
          <w:ilvl w:val="2"/>
          <w:numId w:val="4"/>
        </w:numPr>
        <w:autoSpaceDE w:val="0"/>
        <w:autoSpaceDN w:val="0"/>
        <w:adjustRightInd w:val="0"/>
        <w:spacing w:before="120" w:after="120" w:line="276" w:lineRule="auto"/>
        <w:ind w:left="845" w:leftChars="0"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r>
        <w:rPr>
          <w:rFonts w:hint="default" w:cs="Arial"/>
          <w:i w:val="0"/>
          <w:iCs w:val="0"/>
          <w:color w:val="000000" w:themeColor="text1"/>
          <w:sz w:val="21"/>
          <w:szCs w:val="21"/>
          <w:highlight w:val="none"/>
          <w:lang w:val="pt-BR"/>
          <w14:textFill>
            <w14:solidFill>
              <w14:schemeClr w14:val="tx1"/>
            </w14:solidFill>
          </w14:textFill>
        </w:rPr>
        <w:t>.</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 xml:space="preserve">As adesões à ata de registro de preços são limitadas, na totalidade, ao </w:t>
      </w:r>
      <w:r>
        <w:rPr>
          <w:rFonts w:hint="default" w:ascii="Arial" w:hAnsi="Arial" w:cs="Arial"/>
          <w:i w:val="0"/>
          <w:iCs w:val="0"/>
          <w:color w:val="000000" w:themeColor="text1"/>
          <w:sz w:val="21"/>
          <w:szCs w:val="21"/>
          <w:lang w:val="pt-BR"/>
          <w14:textFill>
            <w14:solidFill>
              <w14:schemeClr w14:val="tx1"/>
            </w14:solidFill>
          </w14:textFill>
        </w:rPr>
        <w:t>dobro</w:t>
      </w:r>
      <w:r>
        <w:rPr>
          <w:rFonts w:hint="default" w:ascii="Arial" w:hAnsi="Arial" w:cs="Arial"/>
          <w:i w:val="0"/>
          <w:iCs w:val="0"/>
          <w:color w:val="000000" w:themeColor="text1"/>
          <w:sz w:val="21"/>
          <w:szCs w:val="21"/>
          <w14:textFill>
            <w14:solidFill>
              <w14:schemeClr w14:val="tx1"/>
            </w14:solidFill>
          </w14:textFill>
        </w:rPr>
        <w:t xml:space="preserve"> do quantitativo de cada item registrado na ata de registro de preços para o órgão gerenciador e órgãos participantes, independente do número de órgãos não participantes que eventualmente aderirem.</w:t>
      </w:r>
    </w:p>
    <w:p>
      <w:pPr>
        <w:numPr>
          <w:ilvl w:val="2"/>
          <w:numId w:val="4"/>
        </w:numPr>
        <w:autoSpaceDE w:val="0"/>
        <w:autoSpaceDN w:val="0"/>
        <w:adjustRightInd w:val="0"/>
        <w:spacing w:before="120" w:after="120" w:line="276" w:lineRule="auto"/>
        <w:ind w:left="845" w:leftChars="0"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14:textFill>
            <w14:solidFill>
              <w14:schemeClr w14:val="tx1"/>
            </w14:solidFill>
          </w14:textFill>
        </w:rPr>
      </w:pPr>
      <w:r>
        <w:rPr>
          <w:rFonts w:hint="default" w:ascii="Arial" w:hAnsi="Arial" w:cs="Arial"/>
          <w:i w:val="0"/>
          <w:iCs w:val="0"/>
          <w:color w:val="000000" w:themeColor="text1"/>
          <w:sz w:val="21"/>
          <w:szCs w:val="21"/>
          <w14:textFill>
            <w14:solidFill>
              <w14:schemeClr w14:val="tx1"/>
            </w14:solidFill>
          </w14:textFill>
        </w:rPr>
        <w:t>Após a autorização do órgão gerenciador, o órgão não participante deverá efetivar a contratação solicitada em até noventa dias, observado o prazo de validade da Ata de Registro de Preços.</w:t>
      </w:r>
    </w:p>
    <w:p>
      <w:pPr>
        <w:numPr>
          <w:ilvl w:val="2"/>
          <w:numId w:val="4"/>
        </w:numPr>
        <w:autoSpaceDE w:val="0"/>
        <w:autoSpaceDN w:val="0"/>
        <w:adjustRightInd w:val="0"/>
        <w:spacing w:before="120" w:after="120" w:line="276" w:lineRule="auto"/>
        <w:ind w:left="845" w:leftChars="0"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Caberá ao órgão gerenciador autorizar, excepcional e justificadamente, a prorrogação do prazo para efetivação da contratação, respeitado o prazo de vigência da ata, desde que solicitada pelo órgão não participante.</w:t>
      </w:r>
    </w:p>
    <w:p>
      <w:pPr>
        <w:numPr>
          <w:ilvl w:val="0"/>
          <w:numId w:val="4"/>
        </w:numPr>
        <w:autoSpaceDE w:val="0"/>
        <w:autoSpaceDN w:val="0"/>
        <w:adjustRightInd w:val="0"/>
        <w:spacing w:before="120" w:after="120" w:line="276" w:lineRule="auto"/>
        <w:ind w:left="5" w:leftChars="0" w:firstLine="0"/>
        <w:jc w:val="both"/>
        <w:rPr>
          <w:rFonts w:hint="default" w:ascii="Arial" w:hAnsi="Arial" w:cs="Arial"/>
          <w:b/>
          <w:bCs/>
          <w:i w:val="0"/>
          <w:iCs w:val="0"/>
          <w:color w:val="000000" w:themeColor="text1"/>
          <w:sz w:val="21"/>
          <w:szCs w:val="21"/>
          <w:lang w:eastAsia="en-US"/>
          <w14:textFill>
            <w14:solidFill>
              <w14:schemeClr w14:val="tx1"/>
            </w14:solidFill>
          </w14:textFill>
        </w:rPr>
      </w:pPr>
      <w:r>
        <w:rPr>
          <w:rFonts w:hint="default" w:ascii="Arial" w:hAnsi="Arial" w:cs="Arial"/>
          <w:b/>
          <w:bCs/>
          <w:i w:val="0"/>
          <w:iCs w:val="0"/>
          <w:color w:val="000000" w:themeColor="text1"/>
          <w:sz w:val="21"/>
          <w:szCs w:val="21"/>
          <w:lang w:eastAsia="en-US"/>
          <w14:textFill>
            <w14:solidFill>
              <w14:schemeClr w14:val="tx1"/>
            </w14:solidFill>
          </w14:textFill>
        </w:rPr>
        <w:t xml:space="preserve">VALIDADE DA ATA </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A validade da Ata de Registro de Preços será de 12 meses, a partir do(a)................................, não podendo ser prorrogada.</w:t>
      </w:r>
    </w:p>
    <w:p>
      <w:pPr>
        <w:numPr>
          <w:ilvl w:val="0"/>
          <w:numId w:val="4"/>
        </w:numPr>
        <w:autoSpaceDE w:val="0"/>
        <w:autoSpaceDN w:val="0"/>
        <w:adjustRightInd w:val="0"/>
        <w:spacing w:before="120" w:after="120" w:line="276" w:lineRule="auto"/>
        <w:ind w:left="5" w:leftChars="0" w:firstLine="0"/>
        <w:jc w:val="both"/>
        <w:rPr>
          <w:rFonts w:hint="default" w:ascii="Arial" w:hAnsi="Arial" w:cs="Arial"/>
          <w:b/>
          <w:bCs/>
          <w:i w:val="0"/>
          <w:iCs w:val="0"/>
          <w:color w:val="000000" w:themeColor="text1"/>
          <w:sz w:val="21"/>
          <w:szCs w:val="21"/>
          <w:lang w:eastAsia="en-US"/>
          <w14:textFill>
            <w14:solidFill>
              <w14:schemeClr w14:val="tx1"/>
            </w14:solidFill>
          </w14:textFill>
        </w:rPr>
      </w:pPr>
      <w:r>
        <w:rPr>
          <w:rFonts w:hint="default" w:ascii="Arial" w:hAnsi="Arial" w:cs="Arial"/>
          <w:b/>
          <w:bCs/>
          <w:i w:val="0"/>
          <w:iCs w:val="0"/>
          <w:color w:val="000000" w:themeColor="text1"/>
          <w:sz w:val="21"/>
          <w:szCs w:val="21"/>
          <w:lang w:eastAsia="en-US"/>
          <w14:textFill>
            <w14:solidFill>
              <w14:schemeClr w14:val="tx1"/>
            </w14:solidFill>
          </w14:textFill>
        </w:rPr>
        <w:t xml:space="preserve">REVISÃO E CANCELAMENTO </w:t>
      </w:r>
    </w:p>
    <w:p>
      <w:pPr>
        <w:pStyle w:val="32"/>
        <w:numPr>
          <w:ilvl w:val="1"/>
          <w:numId w:val="4"/>
        </w:numPr>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A Administração realizará pesquisa de mercado periodicamente, em intervalos não superiores a 180 (cento e oitenta) dias, a fim de verificar a vantajosidade dos preços registrados nesta Ata.</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Os preços registrados poderão ser revistos em decorrência de eventual redução dos preços praticados no mercado ou de fato que eleve o custo do objeto registrado, cabendo à Administração promover as negociações junto ao(s) fornecedor(es).</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Quando o preço registrado tornar-se superior ao preço praticado no mercado por motivo superveniente, a Administração convocará o(s) fornecedor(es) para negociar(em) a redução dos preços aos valores praticados pelo mercado.</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O fornecedor que não aceitar reduzir seu preço ao valor praticado pelo mercado será liberado do compromisso assumido, sem aplicação de penalidade.</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Quando o preço de mercado tornar-se superior aos preços registrados e o fornecedor não puder cumprir o compromisso, o órgão gerenciador poderá:</w:t>
      </w:r>
    </w:p>
    <w:p>
      <w:pPr>
        <w:numPr>
          <w:ilvl w:val="2"/>
          <w:numId w:val="4"/>
        </w:numPr>
        <w:autoSpaceDE w:val="0"/>
        <w:autoSpaceDN w:val="0"/>
        <w:adjustRightInd w:val="0"/>
        <w:spacing w:before="120" w:after="120" w:line="276" w:lineRule="auto"/>
        <w:ind w:left="1134"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liberar o fornecedor do compromisso assumido, caso a comunicação ocorra antes do pedido de fornecimento, e sem aplicação da penalidade se confirmada a veracidade dos motivos e comprovantes apresentados; e</w:t>
      </w:r>
    </w:p>
    <w:p>
      <w:pPr>
        <w:numPr>
          <w:ilvl w:val="2"/>
          <w:numId w:val="4"/>
        </w:numPr>
        <w:autoSpaceDE w:val="0"/>
        <w:autoSpaceDN w:val="0"/>
        <w:adjustRightInd w:val="0"/>
        <w:spacing w:before="120" w:after="120" w:line="276" w:lineRule="auto"/>
        <w:ind w:left="1134"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convocar os demais fornecedores para assegurar igual oportunidade de negociação.</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Não havendo êxito nas negociações, o órgão gerenciador deverá proceder à revogação desta ata de registro de preços, adotando as medidas cabíveis para obtenção da contratação mais vantajosa.</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O registro do fornecedor será cancelado quando:</w:t>
      </w:r>
    </w:p>
    <w:p>
      <w:pPr>
        <w:numPr>
          <w:ilvl w:val="2"/>
          <w:numId w:val="4"/>
        </w:numPr>
        <w:autoSpaceDE w:val="0"/>
        <w:autoSpaceDN w:val="0"/>
        <w:adjustRightInd w:val="0"/>
        <w:spacing w:before="120" w:after="120" w:line="276" w:lineRule="auto"/>
        <w:ind w:left="1134"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descumprir as condições da ata de registro de preços;</w:t>
      </w:r>
    </w:p>
    <w:p>
      <w:pPr>
        <w:numPr>
          <w:ilvl w:val="2"/>
          <w:numId w:val="4"/>
        </w:numPr>
        <w:autoSpaceDE w:val="0"/>
        <w:autoSpaceDN w:val="0"/>
        <w:adjustRightInd w:val="0"/>
        <w:spacing w:before="120" w:after="120" w:line="276" w:lineRule="auto"/>
        <w:ind w:left="1134"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não retirar a nota de empenho ou instrumento equivalente no prazo estabelecido pela Administração, sem justificativa aceitável;</w:t>
      </w:r>
    </w:p>
    <w:p>
      <w:pPr>
        <w:numPr>
          <w:ilvl w:val="2"/>
          <w:numId w:val="4"/>
        </w:numPr>
        <w:autoSpaceDE w:val="0"/>
        <w:autoSpaceDN w:val="0"/>
        <w:adjustRightInd w:val="0"/>
        <w:spacing w:before="120" w:after="120" w:line="276" w:lineRule="auto"/>
        <w:ind w:left="1134"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não aceitar reduzir o seu preço registrado, na hipótese deste se tornar superior àqueles praticados no mercado; ou</w:t>
      </w:r>
    </w:p>
    <w:p>
      <w:pPr>
        <w:numPr>
          <w:ilvl w:val="2"/>
          <w:numId w:val="4"/>
        </w:numPr>
        <w:autoSpaceDE w:val="0"/>
        <w:autoSpaceDN w:val="0"/>
        <w:adjustRightInd w:val="0"/>
        <w:spacing w:before="120" w:after="120" w:line="276" w:lineRule="auto"/>
        <w:ind w:left="1134"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sofrer sanção administrativa cujo efeito torne-o proibido de celebrar contrato administrativo, alcançando o órgão gerenciador e órgão(s) participante(s).</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O cancelamento de registros nas hipóteses previstas nos itens 5.6.1, 5.6.2 e 5.6.4 será formalizado por despacho do órgão gerenciador, assegurado o contraditório e a ampla defesa.</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O cancelamento do registro de preços poderá ocorrer por fato superveniente, decorrente de caso fortuito ou força maior, que prejudique o cumprimento da ata, devidamente comprovados e justificados:</w:t>
      </w:r>
    </w:p>
    <w:p>
      <w:pPr>
        <w:numPr>
          <w:ilvl w:val="2"/>
          <w:numId w:val="4"/>
        </w:numPr>
        <w:autoSpaceDE w:val="0"/>
        <w:autoSpaceDN w:val="0"/>
        <w:adjustRightInd w:val="0"/>
        <w:spacing w:before="120" w:after="120" w:line="276" w:lineRule="auto"/>
        <w:ind w:left="1134"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por razão de interesse público; ou</w:t>
      </w:r>
    </w:p>
    <w:p>
      <w:pPr>
        <w:numPr>
          <w:ilvl w:val="2"/>
          <w:numId w:val="4"/>
        </w:numPr>
        <w:autoSpaceDE w:val="0"/>
        <w:autoSpaceDN w:val="0"/>
        <w:adjustRightInd w:val="0"/>
        <w:spacing w:before="120" w:after="120" w:line="276" w:lineRule="auto"/>
        <w:ind w:left="1134"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a pedido do fornecedor. </w:t>
      </w:r>
    </w:p>
    <w:p>
      <w:pPr>
        <w:numPr>
          <w:ilvl w:val="0"/>
          <w:numId w:val="4"/>
        </w:numPr>
        <w:autoSpaceDE w:val="0"/>
        <w:autoSpaceDN w:val="0"/>
        <w:adjustRightInd w:val="0"/>
        <w:spacing w:before="120" w:after="120" w:line="276" w:lineRule="auto"/>
        <w:ind w:left="5" w:leftChars="0" w:firstLine="0"/>
        <w:jc w:val="both"/>
        <w:rPr>
          <w:rFonts w:hint="default" w:ascii="Arial" w:hAnsi="Arial" w:cs="Arial"/>
          <w:b/>
          <w:bCs/>
          <w:i w:val="0"/>
          <w:iCs w:val="0"/>
          <w:color w:val="000000" w:themeColor="text1"/>
          <w:sz w:val="21"/>
          <w:szCs w:val="21"/>
          <w:lang w:eastAsia="en-US"/>
          <w14:textFill>
            <w14:solidFill>
              <w14:schemeClr w14:val="tx1"/>
            </w14:solidFill>
          </w14:textFill>
        </w:rPr>
      </w:pPr>
      <w:r>
        <w:rPr>
          <w:rFonts w:hint="default" w:ascii="Arial" w:hAnsi="Arial" w:cs="Arial"/>
          <w:b/>
          <w:bCs/>
          <w:i w:val="0"/>
          <w:iCs w:val="0"/>
          <w:color w:val="000000" w:themeColor="text1"/>
          <w:sz w:val="21"/>
          <w:szCs w:val="21"/>
          <w:lang w:eastAsia="en-US"/>
          <w14:textFill>
            <w14:solidFill>
              <w14:schemeClr w14:val="tx1"/>
            </w14:solidFill>
          </w14:textFill>
        </w:rPr>
        <w:t>DAS PENALIDADES</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O descumprimento da Ata de Registro de Preços ensejará aplicação das penalidades estabelecidas no Edital.</w:t>
      </w:r>
    </w:p>
    <w:p>
      <w:pPr>
        <w:numPr>
          <w:ilvl w:val="2"/>
          <w:numId w:val="4"/>
        </w:numPr>
        <w:autoSpaceDE w:val="0"/>
        <w:autoSpaceDN w:val="0"/>
        <w:adjustRightInd w:val="0"/>
        <w:spacing w:before="120" w:after="120" w:line="276" w:lineRule="auto"/>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 xml:space="preserve">As sanções do item acima também se aplicam aos integrantes do cadastro de reserva, em pregão para registro de preços que, convocados, não honrarem o compromisso assumido injustificadamente, nos termos do art. 49, §1º do Decreto nº 10.024/19. </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O órgão participante deverá comunicar ao órgão gerenciador qualquer das ocorrências previstas no art. 20 do Decreto nº 7.892/2013, dada a necessidade de instauração de procedimento para cancelamento do registro do fornecedor.</w:t>
      </w:r>
    </w:p>
    <w:p>
      <w:pPr>
        <w:numPr>
          <w:ilvl w:val="0"/>
          <w:numId w:val="4"/>
        </w:numPr>
        <w:autoSpaceDE w:val="0"/>
        <w:autoSpaceDN w:val="0"/>
        <w:adjustRightInd w:val="0"/>
        <w:spacing w:before="120" w:after="120" w:line="276" w:lineRule="auto"/>
        <w:ind w:left="5" w:leftChars="0" w:firstLine="0"/>
        <w:jc w:val="both"/>
        <w:rPr>
          <w:rFonts w:hint="default" w:ascii="Arial" w:hAnsi="Arial" w:cs="Arial"/>
          <w:b/>
          <w:bCs/>
          <w:i w:val="0"/>
          <w:iCs w:val="0"/>
          <w:color w:val="000000" w:themeColor="text1"/>
          <w:sz w:val="21"/>
          <w:szCs w:val="21"/>
          <w:lang w:eastAsia="en-US"/>
          <w14:textFill>
            <w14:solidFill>
              <w14:schemeClr w14:val="tx1"/>
            </w14:solidFill>
          </w14:textFill>
        </w:rPr>
      </w:pPr>
      <w:r>
        <w:rPr>
          <w:rFonts w:hint="default" w:ascii="Arial" w:hAnsi="Arial" w:cs="Arial"/>
          <w:b/>
          <w:bCs/>
          <w:i w:val="0"/>
          <w:iCs w:val="0"/>
          <w:color w:val="000000" w:themeColor="text1"/>
          <w:sz w:val="21"/>
          <w:szCs w:val="21"/>
          <w:lang w:eastAsia="en-US"/>
          <w14:textFill>
            <w14:solidFill>
              <w14:schemeClr w14:val="tx1"/>
            </w14:solidFill>
          </w14:textFill>
        </w:rPr>
        <w:t>CONDIÇÕES GERAIS</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 xml:space="preserve">É vedado efetuar acréscimos nos quantitativos fixados nesta ata de registro de preços, inclusive o acréscimo de que trata o § 1º do art. 65 da Lei </w:t>
      </w:r>
      <w:r>
        <w:rPr>
          <w:rFonts w:hint="default" w:ascii="Arial" w:hAnsi="Arial" w:cs="Arial"/>
          <w:i w:val="0"/>
          <w:iCs w:val="0"/>
          <w:color w:val="000000" w:themeColor="text1"/>
          <w:sz w:val="21"/>
          <w:szCs w:val="21"/>
          <w:highlight w:val="none"/>
          <w14:textFill>
            <w14:solidFill>
              <w14:schemeClr w14:val="tx1"/>
            </w14:solidFill>
          </w14:textFill>
        </w:rPr>
        <w:t>nº 8.666/93, nos termos do art. 12, §1º do Decreto nº 7.892/13.</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No caso de adjudicação por preço global de grupo de itens, só será admitida a contratação dos itens nas seguintes hipóteses.</w:t>
      </w:r>
    </w:p>
    <w:p>
      <w:pPr>
        <w:numPr>
          <w:ilvl w:val="2"/>
          <w:numId w:val="4"/>
        </w:numPr>
        <w:autoSpaceDE w:val="0"/>
        <w:autoSpaceDN w:val="0"/>
        <w:adjustRightInd w:val="0"/>
        <w:spacing w:before="120" w:after="120" w:line="276" w:lineRule="auto"/>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 xml:space="preserve"> contratação da totalidade dos itens de grupo, respeitadas as proporções de quantitativos definidos no certame; ou</w:t>
      </w:r>
    </w:p>
    <w:p>
      <w:pPr>
        <w:numPr>
          <w:ilvl w:val="2"/>
          <w:numId w:val="4"/>
        </w:numPr>
        <w:autoSpaceDE w:val="0"/>
        <w:autoSpaceDN w:val="0"/>
        <w:adjustRightInd w:val="0"/>
        <w:spacing w:before="120" w:after="120" w:line="276" w:lineRule="auto"/>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 xml:space="preserve"> contratação de item isolado para o qual o preço unitário adjudicado ao vencedor seja o menor preço válido ofertado para o mesmo item na fase de lances</w:t>
      </w:r>
    </w:p>
    <w:p>
      <w:pPr>
        <w:numPr>
          <w:ilvl w:val="1"/>
          <w:numId w:val="4"/>
        </w:numPr>
        <w:autoSpaceDE w:val="0"/>
        <w:autoSpaceDN w:val="0"/>
        <w:adjustRightInd w:val="0"/>
        <w:spacing w:before="120" w:after="120" w:line="276" w:lineRule="auto"/>
        <w:ind w:left="425" w:firstLine="0"/>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pPr>
        <w:widowControl w:val="0"/>
        <w:autoSpaceDE w:val="0"/>
        <w:autoSpaceDN w:val="0"/>
        <w:adjustRightInd w:val="0"/>
        <w:spacing w:before="240"/>
        <w:ind w:right="-15"/>
        <w:jc w:val="both"/>
        <w:rPr>
          <w:rFonts w:hint="default" w:ascii="Arial" w:hAnsi="Arial" w:cs="Arial"/>
          <w:i w:val="0"/>
          <w:iCs w:val="0"/>
          <w:color w:val="000000" w:themeColor="text1"/>
          <w:sz w:val="21"/>
          <w:szCs w:val="21"/>
          <w:highlight w:val="none"/>
          <w14:textFill>
            <w14:solidFill>
              <w14:schemeClr w14:val="tx1"/>
            </w14:solidFill>
          </w14:textFill>
        </w:rPr>
      </w:pPr>
    </w:p>
    <w:p>
      <w:pPr>
        <w:widowControl w:val="0"/>
        <w:autoSpaceDE w:val="0"/>
        <w:autoSpaceDN w:val="0"/>
        <w:adjustRightInd w:val="0"/>
        <w:ind w:right="-15"/>
        <w:jc w:val="both"/>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 xml:space="preserve">Para firmeza e validade do pactuado, a presente Ata foi lavrada em .... (....) vias de igual teor, que, depois de lida e achada em ordem, vai assinada pelas partes </w:t>
      </w:r>
      <w:r>
        <w:rPr>
          <w:rFonts w:hint="default" w:ascii="Arial" w:hAnsi="Arial" w:cs="Arial"/>
          <w:i w:val="0"/>
          <w:iCs w:val="0"/>
          <w:color w:val="000000" w:themeColor="text1"/>
          <w:sz w:val="21"/>
          <w:szCs w:val="21"/>
          <w:highlight w:val="none"/>
          <w14:textFill>
            <w14:solidFill>
              <w14:schemeClr w14:val="tx1"/>
            </w14:solidFill>
          </w14:textFill>
        </w:rPr>
        <w:t xml:space="preserve">e encaminhada cópia aos demais órgãos participantes (se houver). </w:t>
      </w:r>
    </w:p>
    <w:p>
      <w:pPr>
        <w:widowControl w:val="0"/>
        <w:autoSpaceDE w:val="0"/>
        <w:autoSpaceDN w:val="0"/>
        <w:adjustRightInd w:val="0"/>
        <w:ind w:right="-15"/>
        <w:jc w:val="both"/>
        <w:rPr>
          <w:rFonts w:hint="default" w:ascii="Arial" w:hAnsi="Arial" w:cs="Arial"/>
          <w:i w:val="0"/>
          <w:iCs w:val="0"/>
          <w:color w:val="000000" w:themeColor="text1"/>
          <w:sz w:val="21"/>
          <w:szCs w:val="21"/>
          <w:highlight w:val="none"/>
          <w14:textFill>
            <w14:solidFill>
              <w14:schemeClr w14:val="tx1"/>
            </w14:solidFill>
          </w14:textFill>
        </w:rPr>
      </w:pPr>
    </w:p>
    <w:p>
      <w:pPr>
        <w:widowControl w:val="0"/>
        <w:autoSpaceDE w:val="0"/>
        <w:autoSpaceDN w:val="0"/>
        <w:adjustRightInd w:val="0"/>
        <w:ind w:right="-15"/>
        <w:jc w:val="both"/>
        <w:rPr>
          <w:rFonts w:hint="default" w:ascii="Arial" w:hAnsi="Arial" w:cs="Arial"/>
          <w:i w:val="0"/>
          <w:iCs w:val="0"/>
          <w:color w:val="000000" w:themeColor="text1"/>
          <w:sz w:val="21"/>
          <w:szCs w:val="21"/>
          <w:highlight w:val="none"/>
          <w14:textFill>
            <w14:solidFill>
              <w14:schemeClr w14:val="tx1"/>
            </w14:solidFill>
          </w14:textFill>
        </w:rPr>
      </w:pPr>
    </w:p>
    <w:p>
      <w:pPr>
        <w:spacing w:after="120" w:line="360" w:lineRule="auto"/>
        <w:ind w:right="-15"/>
        <w:jc w:val="right"/>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João Pessoa - PB, ........ de..................................... de 20</w:t>
      </w:r>
      <w:r>
        <w:rPr>
          <w:rFonts w:hint="default" w:ascii="Arial" w:hAnsi="Arial" w:cs="Arial"/>
          <w:i w:val="0"/>
          <w:iCs w:val="0"/>
          <w:color w:val="000000" w:themeColor="text1"/>
          <w:sz w:val="21"/>
          <w:szCs w:val="21"/>
          <w:highlight w:val="none"/>
          <w:lang w:val="pt-BR"/>
          <w14:textFill>
            <w14:solidFill>
              <w14:schemeClr w14:val="tx1"/>
            </w14:solidFill>
          </w14:textFill>
        </w:rPr>
        <w:t>20</w:t>
      </w:r>
      <w:r>
        <w:rPr>
          <w:rFonts w:hint="default" w:ascii="Arial" w:hAnsi="Arial" w:cs="Arial"/>
          <w:i w:val="0"/>
          <w:iCs w:val="0"/>
          <w:color w:val="000000" w:themeColor="text1"/>
          <w:sz w:val="21"/>
          <w:szCs w:val="21"/>
          <w:highlight w:val="none"/>
          <w14:textFill>
            <w14:solidFill>
              <w14:schemeClr w14:val="tx1"/>
            </w14:solidFill>
          </w14:textFill>
        </w:rPr>
        <w:t>.</w:t>
      </w:r>
    </w:p>
    <w:p>
      <w:pPr>
        <w:spacing w:after="120"/>
        <w:jc w:val="center"/>
        <w:rPr>
          <w:rFonts w:hint="default" w:ascii="Arial" w:hAnsi="Arial" w:cs="Arial"/>
          <w:b/>
          <w:i w:val="0"/>
          <w:iCs w:val="0"/>
          <w:color w:val="000000" w:themeColor="text1"/>
          <w:sz w:val="21"/>
          <w:szCs w:val="21"/>
          <w:highlight w:val="none"/>
          <w14:textFill>
            <w14:solidFill>
              <w14:schemeClr w14:val="tx1"/>
            </w14:solidFill>
          </w14:textFill>
        </w:rPr>
      </w:pPr>
      <w:bookmarkStart w:id="0" w:name="_GoBack"/>
      <w:bookmarkEnd w:id="0"/>
    </w:p>
    <w:p>
      <w:pPr>
        <w:spacing w:after="120"/>
        <w:jc w:val="center"/>
        <w:rPr>
          <w:rFonts w:hint="default" w:ascii="Arial" w:hAnsi="Arial" w:cs="Arial"/>
          <w:b/>
          <w:i w:val="0"/>
          <w:iCs w:val="0"/>
          <w:color w:val="000000" w:themeColor="text1"/>
          <w:sz w:val="21"/>
          <w:szCs w:val="21"/>
          <w:highlight w:val="none"/>
          <w14:textFill>
            <w14:solidFill>
              <w14:schemeClr w14:val="tx1"/>
            </w14:solidFill>
          </w14:textFill>
        </w:rPr>
      </w:pPr>
    </w:p>
    <w:p>
      <w:pPr>
        <w:spacing w:after="120"/>
        <w:jc w:val="center"/>
        <w:rPr>
          <w:rFonts w:hint="default" w:cs="Arial"/>
          <w:b/>
          <w:i w:val="0"/>
          <w:iCs w:val="0"/>
          <w:color w:val="000000" w:themeColor="text1"/>
          <w:sz w:val="21"/>
          <w:szCs w:val="21"/>
          <w:highlight w:val="none"/>
          <w:lang w:val="pt-BR"/>
          <w14:textFill>
            <w14:solidFill>
              <w14:schemeClr w14:val="tx1"/>
            </w14:solidFill>
          </w14:textFill>
        </w:rPr>
      </w:pPr>
      <w:r>
        <w:rPr>
          <w:rFonts w:hint="default" w:cs="Arial"/>
          <w:b/>
          <w:i w:val="0"/>
          <w:iCs w:val="0"/>
          <w:color w:val="000000" w:themeColor="text1"/>
          <w:sz w:val="21"/>
          <w:szCs w:val="21"/>
          <w:highlight w:val="none"/>
          <w:lang w:val="pt-BR"/>
          <w14:textFill>
            <w14:solidFill>
              <w14:schemeClr w14:val="tx1"/>
            </w14:solidFill>
          </w14:textFill>
        </w:rPr>
        <w:t>CÍCERO NICÁCIO DO NASCIMENTO LOPES</w:t>
      </w:r>
    </w:p>
    <w:p>
      <w:pPr>
        <w:spacing w:after="120"/>
        <w:jc w:val="center"/>
        <w:rPr>
          <w:rFonts w:hint="default" w:cs="Arial"/>
          <w:b w:val="0"/>
          <w:bCs/>
          <w:i w:val="0"/>
          <w:iCs w:val="0"/>
          <w:color w:val="000000" w:themeColor="text1"/>
          <w:sz w:val="21"/>
          <w:szCs w:val="21"/>
          <w:highlight w:val="none"/>
          <w:lang w:val="pt-BR"/>
          <w14:textFill>
            <w14:solidFill>
              <w14:schemeClr w14:val="tx1"/>
            </w14:solidFill>
          </w14:textFill>
        </w:rPr>
      </w:pPr>
      <w:r>
        <w:rPr>
          <w:rFonts w:hint="default" w:cs="Arial"/>
          <w:b w:val="0"/>
          <w:bCs/>
          <w:i w:val="0"/>
          <w:iCs w:val="0"/>
          <w:color w:val="000000" w:themeColor="text1"/>
          <w:sz w:val="21"/>
          <w:szCs w:val="21"/>
          <w:highlight w:val="none"/>
          <w:lang w:val="pt-BR"/>
          <w14:textFill>
            <w14:solidFill>
              <w14:schemeClr w14:val="tx1"/>
            </w14:solidFill>
          </w14:textFill>
        </w:rPr>
        <w:t>Reitor</w:t>
      </w:r>
    </w:p>
    <w:p>
      <w:pPr>
        <w:spacing w:after="120"/>
        <w:jc w:val="center"/>
        <w:rPr>
          <w:rFonts w:hint="default" w:ascii="Arial" w:hAnsi="Arial" w:cs="Arial"/>
          <w:b/>
          <w:i w:val="0"/>
          <w:iCs w:val="0"/>
          <w:color w:val="000000" w:themeColor="text1"/>
          <w:sz w:val="21"/>
          <w:szCs w:val="21"/>
          <w:highlight w:val="none"/>
          <w14:textFill>
            <w14:solidFill>
              <w14:schemeClr w14:val="tx1"/>
            </w14:solidFill>
          </w14:textFill>
        </w:rPr>
      </w:pPr>
    </w:p>
    <w:p>
      <w:pPr>
        <w:spacing w:after="120"/>
        <w:jc w:val="center"/>
        <w:rPr>
          <w:rFonts w:hint="default" w:ascii="Arial" w:hAnsi="Arial" w:cs="Arial"/>
          <w:b/>
          <w:i w:val="0"/>
          <w:iCs w:val="0"/>
          <w:color w:val="000000" w:themeColor="text1"/>
          <w:sz w:val="21"/>
          <w:szCs w:val="21"/>
          <w:highlight w:val="none"/>
          <w14:textFill>
            <w14:solidFill>
              <w14:schemeClr w14:val="tx1"/>
            </w14:solidFill>
          </w14:textFill>
        </w:rPr>
      </w:pPr>
    </w:p>
    <w:p>
      <w:pPr>
        <w:spacing w:after="120"/>
        <w:jc w:val="center"/>
        <w:rPr>
          <w:rFonts w:hint="default" w:ascii="Arial" w:hAnsi="Arial" w:cs="Arial"/>
          <w:b/>
          <w:i w:val="0"/>
          <w:iCs w:val="0"/>
          <w:color w:val="000000" w:themeColor="text1"/>
          <w:sz w:val="21"/>
          <w:szCs w:val="21"/>
          <w:highlight w:val="none"/>
          <w14:textFill>
            <w14:solidFill>
              <w14:schemeClr w14:val="tx1"/>
            </w14:solidFill>
          </w14:textFill>
        </w:rPr>
      </w:pPr>
    </w:p>
    <w:p>
      <w:pPr>
        <w:spacing w:after="120"/>
        <w:jc w:val="center"/>
        <w:rPr>
          <w:rFonts w:hint="default" w:ascii="Arial" w:hAnsi="Arial" w:cs="Arial"/>
          <w:b/>
          <w:i w:val="0"/>
          <w:iCs w:val="0"/>
          <w:color w:val="000000" w:themeColor="text1"/>
          <w:sz w:val="21"/>
          <w:szCs w:val="21"/>
          <w:highlight w:val="none"/>
          <w14:textFill>
            <w14:solidFill>
              <w14:schemeClr w14:val="tx1"/>
            </w14:solidFill>
          </w14:textFill>
        </w:rPr>
      </w:pPr>
    </w:p>
    <w:p>
      <w:pPr>
        <w:spacing w:after="120"/>
        <w:jc w:val="center"/>
        <w:rPr>
          <w:rFonts w:hint="default" w:ascii="Arial" w:hAnsi="Arial" w:cs="Arial"/>
          <w:b/>
          <w:i w:val="0"/>
          <w:iCs w:val="0"/>
          <w:color w:val="000000" w:themeColor="text1"/>
          <w:sz w:val="21"/>
          <w:szCs w:val="21"/>
          <w:highlight w:val="none"/>
          <w14:textFill>
            <w14:solidFill>
              <w14:schemeClr w14:val="tx1"/>
            </w14:solidFill>
          </w14:textFill>
        </w:rPr>
      </w:pPr>
      <w:r>
        <w:rPr>
          <w:rFonts w:hint="default" w:ascii="Arial" w:hAnsi="Arial" w:cs="Arial"/>
          <w:b/>
          <w:i w:val="0"/>
          <w:iCs w:val="0"/>
          <w:color w:val="000000" w:themeColor="text1"/>
          <w:sz w:val="21"/>
          <w:szCs w:val="21"/>
          <w:highlight w:val="none"/>
          <w14:textFill>
            <w14:solidFill>
              <w14:schemeClr w14:val="tx1"/>
            </w14:solidFill>
          </w14:textFill>
        </w:rPr>
        <w:t>[nome do signatário]</w:t>
      </w:r>
    </w:p>
    <w:p>
      <w:pPr>
        <w:autoSpaceDE w:val="0"/>
        <w:autoSpaceDN w:val="0"/>
        <w:adjustRightInd w:val="0"/>
        <w:spacing w:after="240"/>
        <w:jc w:val="center"/>
        <w:rPr>
          <w:rFonts w:hint="default" w:ascii="Arial" w:hAnsi="Arial" w:cs="Arial"/>
          <w:i w:val="0"/>
          <w:iCs w:val="0"/>
          <w:color w:val="000000" w:themeColor="text1"/>
          <w:sz w:val="21"/>
          <w:szCs w:val="21"/>
          <w:highlight w:val="none"/>
          <w14:textFill>
            <w14:solidFill>
              <w14:schemeClr w14:val="tx1"/>
            </w14:solidFill>
          </w14:textFill>
        </w:rPr>
      </w:pPr>
      <w:r>
        <w:rPr>
          <w:rFonts w:hint="default" w:ascii="Arial" w:hAnsi="Arial" w:cs="Arial"/>
          <w:i w:val="0"/>
          <w:iCs w:val="0"/>
          <w:color w:val="000000" w:themeColor="text1"/>
          <w:sz w:val="21"/>
          <w:szCs w:val="21"/>
          <w:highlight w:val="none"/>
          <w14:textFill>
            <w14:solidFill>
              <w14:schemeClr w14:val="tx1"/>
            </w14:solidFill>
          </w14:textFill>
        </w:rPr>
        <w:t xml:space="preserve"> Representante legal do licitante</w:t>
      </w:r>
    </w:p>
    <w:sectPr>
      <w:headerReference r:id="rId3" w:type="default"/>
      <w:footerReference r:id="rId4" w:type="default"/>
      <w:pgSz w:w="11906" w:h="16838"/>
      <w:pgMar w:top="1418" w:right="1134" w:bottom="1418"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Ecofont_Spranq_eco_Sans">
    <w:altName w:val="Calibri"/>
    <w:panose1 w:val="00000000000000000000"/>
    <w:charset w:val="00"/>
    <w:family w:val="swiss"/>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 w:name="Mangal">
    <w:altName w:val="Segoe Print"/>
    <w:panose1 w:val="02040503050203030202"/>
    <w:charset w:val="00"/>
    <w:family w:val="roman"/>
    <w:pitch w:val="default"/>
    <w:sig w:usb0="00000000" w:usb1="00000000" w:usb2="00000000" w:usb3="00000000" w:csb0="00000001" w:csb1="00000000"/>
  </w:font>
  <w:font w:name="Carlito">
    <w:altName w:val="Calibri"/>
    <w:panose1 w:val="020F0502020204030204"/>
    <w:charset w:val="00"/>
    <w:family w:val="swiss"/>
    <w:pitch w:val="default"/>
    <w:sig w:usb0="00000000" w:usb1="00000000" w:usb2="00000009" w:usb3="00000000" w:csb0="0000019F" w:csb1="00000000"/>
  </w:font>
  <w:font w:name="Segoe Print">
    <w:panose1 w:val="02000600000000000000"/>
    <w:charset w:val="00"/>
    <w:family w:val="auto"/>
    <w:pitch w:val="default"/>
    <w:sig w:usb0="0000028F" w:usb1="00000000" w:usb2="00000000" w:usb3="00000000" w:csb0="2000009F" w:csb1="4701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rPr>
        <w:rFonts w:ascii="Times New Roman" w:hAnsi="Times New Roman" w:cs="Times New Roman"/>
      </w:rPr>
      <w:t>__________________________________________________________________</w:t>
    </w:r>
  </w:p>
  <w:p>
    <w:pPr>
      <w:pStyle w:val="43"/>
      <w:jc w:val="both"/>
    </w:pPr>
    <w:r>
      <w:rPr>
        <w:rFonts w:ascii="Carlito" w:hAnsi="Carlito" w:cs="Carlito"/>
        <w:b/>
        <w:sz w:val="16"/>
        <w:szCs w:val="16"/>
        <w:shd w:val="clear" w:color="auto" w:fill="FFFFFF"/>
      </w:rPr>
      <w:t>Diretoria de Compras, Contratos e Licitações</w:t>
    </w:r>
  </w:p>
  <w:p>
    <w:pPr>
      <w:pStyle w:val="43"/>
      <w:jc w:val="both"/>
    </w:pPr>
    <w:r>
      <w:rPr>
        <w:rFonts w:ascii="Carlito" w:hAnsi="Carlito" w:cs="Carlito"/>
        <w:sz w:val="16"/>
        <w:szCs w:val="16"/>
        <w:shd w:val="clear" w:color="auto" w:fill="FFFFFF"/>
      </w:rPr>
      <w:t>Av. Almirante Barroso, 1077, Centro, João Pessoa/PB, CEP: 58.013-120</w:t>
    </w:r>
  </w:p>
  <w:p>
    <w:pPr>
      <w:pStyle w:val="43"/>
      <w:jc w:val="both"/>
    </w:pPr>
    <w:r>
      <w:rPr>
        <w:rFonts w:ascii="Carlito" w:hAnsi="Carlito" w:cs="Carlito"/>
        <w:sz w:val="16"/>
        <w:szCs w:val="16"/>
        <w:shd w:val="clear" w:color="auto" w:fill="FFFFFF"/>
      </w:rPr>
      <w:t>(83) 3612-9166/9161 -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hint="default" w:ascii="Arial" w:hAnsi="Arial" w:cs="Arial"/>
        <w:sz w:val="21"/>
        <w:szCs w:val="21"/>
      </w:rPr>
    </w:pPr>
    <w:r>
      <w:rPr>
        <w:rFonts w:hint="default" w:ascii="Arial" w:hAnsi="Arial" w:cs="Arial"/>
        <w:sz w:val="21"/>
        <w:szCs w:val="21"/>
      </w:rPr>
      <w:drawing>
        <wp:anchor distT="0" distB="17780" distL="0" distR="0" simplePos="0" relativeHeight="25165926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hint="default" w:ascii="Arial" w:hAnsi="Arial" w:cs="Arial"/>
        <w:bCs/>
        <w:sz w:val="21"/>
        <w:szCs w:val="21"/>
      </w:rPr>
      <w:t>MINISTÉRIO DA EDUCAÇÃO</w:t>
    </w:r>
  </w:p>
  <w:p>
    <w:pPr>
      <w:jc w:val="center"/>
      <w:rPr>
        <w:rFonts w:hint="default" w:ascii="Arial" w:hAnsi="Arial" w:cs="Arial"/>
        <w:sz w:val="21"/>
        <w:szCs w:val="21"/>
      </w:rPr>
    </w:pPr>
    <w:r>
      <w:rPr>
        <w:rFonts w:hint="default" w:ascii="Arial" w:hAnsi="Arial" w:cs="Arial"/>
        <w:bCs/>
        <w:sz w:val="21"/>
        <w:szCs w:val="21"/>
      </w:rPr>
      <w:t>Secretaria de Educação Profissional e Tecnológica</w:t>
    </w:r>
  </w:p>
  <w:p>
    <w:pPr>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tabs>
        <w:tab w:val="left" w:pos="4735"/>
      </w:tabs>
      <w:jc w:val="center"/>
      <w:rPr>
        <w:rFonts w:hint="default" w:ascii="Arial" w:hAnsi="Arial" w:cs="Arial"/>
        <w:sz w:val="21"/>
        <w:szCs w:val="21"/>
      </w:rPr>
    </w:pPr>
    <w:r>
      <w:rPr>
        <w:rFonts w:hint="default" w:ascii="Arial" w:hAnsi="Arial" w:cs="Arial"/>
        <w:bCs/>
        <w:sz w:val="21"/>
        <w:szCs w:val="21"/>
      </w:rPr>
      <w:t>Pró-Reitoria de Administração e Finanças</w:t>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1">
    <w:nsid w:val="11983857"/>
    <w:multiLevelType w:val="multilevel"/>
    <w:tmpl w:val="11983857"/>
    <w:lvl w:ilvl="0" w:tentative="0">
      <w:start w:val="1"/>
      <w:numFmt w:val="decimal"/>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rPr>
        <w:i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
    <w:nsid w:val="61DD361E"/>
    <w:multiLevelType w:val="multilevel"/>
    <w:tmpl w:val="61DD361E"/>
    <w:lvl w:ilvl="0" w:tentative="0">
      <w:start w:val="1"/>
      <w:numFmt w:val="decimal"/>
      <w:pStyle w:val="35"/>
      <w:lvlText w:val="%1."/>
      <w:lvlJc w:val="left"/>
      <w:pPr>
        <w:ind w:left="360" w:hanging="360"/>
      </w:pPr>
      <w:rPr>
        <w:rFonts w:hint="default"/>
        <w:b/>
        <w:i w:val="0"/>
      </w:rPr>
    </w:lvl>
    <w:lvl w:ilvl="1" w:tentative="0">
      <w:start w:val="1"/>
      <w:numFmt w:val="decimal"/>
      <w:suff w:val="space"/>
      <w:lvlText w:val="%1.%2."/>
      <w:lvlJc w:val="left"/>
      <w:pPr>
        <w:ind w:left="0" w:firstLine="0"/>
      </w:pPr>
      <w:rPr>
        <w:rFonts w:hint="default"/>
        <w:b w:val="0"/>
        <w:i w:val="0"/>
        <w:strike w:val="0"/>
        <w:color w:val="auto"/>
      </w:rPr>
    </w:lvl>
    <w:lvl w:ilvl="2" w:tentative="0">
      <w:start w:val="1"/>
      <w:numFmt w:val="decimal"/>
      <w:suff w:val="space"/>
      <w:lvlText w:val="%1.%2.%3."/>
      <w:lvlJc w:val="left"/>
      <w:pPr>
        <w:ind w:left="1135" w:firstLine="0"/>
      </w:pPr>
      <w:rPr>
        <w:rFonts w:hint="default"/>
        <w:b w:val="0"/>
        <w:i w:val="0"/>
      </w:rPr>
    </w:lvl>
    <w:lvl w:ilvl="3" w:tentative="0">
      <w:start w:val="1"/>
      <w:numFmt w:val="decimal"/>
      <w:suff w:val="space"/>
      <w:lvlText w:val="%1.%2.%3.%4."/>
      <w:lvlJc w:val="left"/>
      <w:pPr>
        <w:ind w:left="851" w:firstLine="0"/>
      </w:pPr>
      <w:rPr>
        <w:rFonts w:hint="default"/>
        <w:b/>
        <w:i w:val="0"/>
      </w:rPr>
    </w:lvl>
    <w:lvl w:ilvl="4" w:tentative="0">
      <w:start w:val="1"/>
      <w:numFmt w:val="decimal"/>
      <w:suff w:val="space"/>
      <w:lvlText w:val="%1.%2.%3.%4.%5."/>
      <w:lvlJc w:val="left"/>
      <w:pPr>
        <w:ind w:left="1134" w:firstLine="0"/>
      </w:pPr>
      <w:rPr>
        <w:rFonts w:hint="default"/>
        <w:b/>
        <w:i w:val="0"/>
      </w:rPr>
    </w:lvl>
    <w:lvl w:ilvl="5" w:tentative="0">
      <w:start w:val="1"/>
      <w:numFmt w:val="decimal"/>
      <w:lvlText w:val="%1.%2.%3.%4.%5.%6."/>
      <w:lvlJc w:val="left"/>
      <w:pPr>
        <w:tabs>
          <w:tab w:val="left" w:pos="2880"/>
        </w:tabs>
        <w:ind w:left="2736" w:hanging="936"/>
      </w:pPr>
      <w:rPr>
        <w:rFonts w:hint="default"/>
      </w:rPr>
    </w:lvl>
    <w:lvl w:ilvl="6" w:tentative="0">
      <w:start w:val="1"/>
      <w:numFmt w:val="decimal"/>
      <w:lvlText w:val="%1.%2.%3.%4.%5.%6.%7."/>
      <w:lvlJc w:val="left"/>
      <w:pPr>
        <w:tabs>
          <w:tab w:val="left" w:pos="3600"/>
        </w:tabs>
        <w:ind w:left="3240" w:hanging="1080"/>
      </w:pPr>
      <w:rPr>
        <w:rFonts w:hint="default"/>
      </w:rPr>
    </w:lvl>
    <w:lvl w:ilvl="7" w:tentative="0">
      <w:start w:val="1"/>
      <w:numFmt w:val="decimal"/>
      <w:lvlText w:val="%1.%2.%3.%4.%5.%6.%7.%8."/>
      <w:lvlJc w:val="left"/>
      <w:pPr>
        <w:tabs>
          <w:tab w:val="left" w:pos="3960"/>
        </w:tabs>
        <w:ind w:left="3744" w:hanging="1224"/>
      </w:pPr>
      <w:rPr>
        <w:rFonts w:hint="default"/>
      </w:rPr>
    </w:lvl>
    <w:lvl w:ilvl="8" w:tentative="0">
      <w:start w:val="1"/>
      <w:numFmt w:val="decimal"/>
      <w:lvlText w:val="%1.%2.%3.%4.%5.%6.%7.%8.%9."/>
      <w:lvlJc w:val="left"/>
      <w:pPr>
        <w:tabs>
          <w:tab w:val="left" w:pos="4680"/>
        </w:tabs>
        <w:ind w:left="4320" w:hanging="1440"/>
      </w:pPr>
      <w:rPr>
        <w:rFonts w:hint="default"/>
      </w:rPr>
    </w:lvl>
  </w:abstractNum>
  <w:abstractNum w:abstractNumId="3">
    <w:nsid w:val="663835EF"/>
    <w:multiLevelType w:val="multilevel"/>
    <w:tmpl w:val="663835EF"/>
    <w:lvl w:ilvl="0" w:tentative="0">
      <w:start w:val="1"/>
      <w:numFmt w:val="decimal"/>
      <w:lvlText w:val="%1."/>
      <w:lvlJc w:val="left"/>
      <w:pPr>
        <w:tabs>
          <w:tab w:val="left" w:pos="425"/>
        </w:tabs>
        <w:ind w:left="425" w:leftChars="0" w:hanging="425" w:firstLineChars="0"/>
      </w:pPr>
      <w:rPr>
        <w:rFonts w:hint="default"/>
      </w:rPr>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Roman"/>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Roman"/>
      <w:lvlText w:val="%6."/>
      <w:lvlJc w:val="left"/>
      <w:pPr>
        <w:tabs>
          <w:tab w:val="left" w:pos="2520"/>
        </w:tabs>
        <w:ind w:left="2520" w:leftChars="0" w:hanging="420" w:firstLineChars="0"/>
      </w:pPr>
      <w:rPr>
        <w:rFonts w:hint="default"/>
      </w:rPr>
    </w:lvl>
    <w:lvl w:ilvl="6" w:tentative="0">
      <w:start w:val="1"/>
      <w:numFmt w:val="decimal"/>
      <w:lvlText w:val="%7."/>
      <w:lvlJc w:val="left"/>
      <w:pPr>
        <w:tabs>
          <w:tab w:val="left" w:pos="2940"/>
        </w:tabs>
        <w:ind w:left="2940" w:leftChars="0" w:hanging="420" w:firstLineChars="0"/>
      </w:pPr>
      <w:rPr>
        <w:rFonts w:hint="default"/>
      </w:rPr>
    </w:lvl>
    <w:lvl w:ilvl="7" w:tentative="0">
      <w:start w:val="1"/>
      <w:numFmt w:val="lowerLetter"/>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attachedTemplate r:id="rId1"/>
  <w:documentProtection w:enforcement="0"/>
  <w:defaultTabStop w:val="5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05B7"/>
    <w:rsid w:val="000010C9"/>
    <w:rsid w:val="0000236D"/>
    <w:rsid w:val="000027C2"/>
    <w:rsid w:val="00003298"/>
    <w:rsid w:val="0000581A"/>
    <w:rsid w:val="00007BB0"/>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954"/>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07557"/>
    <w:rsid w:val="001103FF"/>
    <w:rsid w:val="00113EEB"/>
    <w:rsid w:val="001219B0"/>
    <w:rsid w:val="00124990"/>
    <w:rsid w:val="001304C0"/>
    <w:rsid w:val="001315F2"/>
    <w:rsid w:val="0014004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1AC7"/>
    <w:rsid w:val="001742AA"/>
    <w:rsid w:val="00174CAA"/>
    <w:rsid w:val="001758AF"/>
    <w:rsid w:val="00177CD5"/>
    <w:rsid w:val="001817D2"/>
    <w:rsid w:val="00182096"/>
    <w:rsid w:val="00184086"/>
    <w:rsid w:val="00185C35"/>
    <w:rsid w:val="001904A8"/>
    <w:rsid w:val="00193528"/>
    <w:rsid w:val="001A1732"/>
    <w:rsid w:val="001A2CE9"/>
    <w:rsid w:val="001A3A05"/>
    <w:rsid w:val="001A3E18"/>
    <w:rsid w:val="001A6538"/>
    <w:rsid w:val="001A6D08"/>
    <w:rsid w:val="001B005B"/>
    <w:rsid w:val="001B4C30"/>
    <w:rsid w:val="001C3F32"/>
    <w:rsid w:val="001C48B6"/>
    <w:rsid w:val="001C4C04"/>
    <w:rsid w:val="001C694F"/>
    <w:rsid w:val="001C721E"/>
    <w:rsid w:val="001D5C89"/>
    <w:rsid w:val="001D62F4"/>
    <w:rsid w:val="001D65F2"/>
    <w:rsid w:val="001E1D7A"/>
    <w:rsid w:val="001E21A2"/>
    <w:rsid w:val="001E27B9"/>
    <w:rsid w:val="001E3AAF"/>
    <w:rsid w:val="001E47DC"/>
    <w:rsid w:val="001F0A6E"/>
    <w:rsid w:val="001F1BF8"/>
    <w:rsid w:val="001F1E55"/>
    <w:rsid w:val="001F39FA"/>
    <w:rsid w:val="001F77F8"/>
    <w:rsid w:val="00202A04"/>
    <w:rsid w:val="00202CDE"/>
    <w:rsid w:val="0020305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5544"/>
    <w:rsid w:val="00267125"/>
    <w:rsid w:val="00267B22"/>
    <w:rsid w:val="00271CB6"/>
    <w:rsid w:val="0027301A"/>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453"/>
    <w:rsid w:val="00303A06"/>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26E51"/>
    <w:rsid w:val="004316D7"/>
    <w:rsid w:val="00431EDA"/>
    <w:rsid w:val="0043231C"/>
    <w:rsid w:val="00432470"/>
    <w:rsid w:val="00435447"/>
    <w:rsid w:val="00437AA2"/>
    <w:rsid w:val="004417CD"/>
    <w:rsid w:val="00441EA1"/>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75D"/>
    <w:rsid w:val="00494AE7"/>
    <w:rsid w:val="004A1E7A"/>
    <w:rsid w:val="004A3DAE"/>
    <w:rsid w:val="004B05B0"/>
    <w:rsid w:val="004B0CAC"/>
    <w:rsid w:val="004B19B5"/>
    <w:rsid w:val="004B1D7D"/>
    <w:rsid w:val="004B460A"/>
    <w:rsid w:val="004B68A2"/>
    <w:rsid w:val="004C0212"/>
    <w:rsid w:val="004C05F9"/>
    <w:rsid w:val="004C2D4B"/>
    <w:rsid w:val="004C5D7E"/>
    <w:rsid w:val="004D107E"/>
    <w:rsid w:val="004D3FAA"/>
    <w:rsid w:val="004D5EFC"/>
    <w:rsid w:val="004E0194"/>
    <w:rsid w:val="004E386B"/>
    <w:rsid w:val="004E6F2B"/>
    <w:rsid w:val="004E79BB"/>
    <w:rsid w:val="004F1A48"/>
    <w:rsid w:val="004F5DF9"/>
    <w:rsid w:val="004F6223"/>
    <w:rsid w:val="004F66B4"/>
    <w:rsid w:val="004F78C6"/>
    <w:rsid w:val="005012CE"/>
    <w:rsid w:val="0050224C"/>
    <w:rsid w:val="005037A6"/>
    <w:rsid w:val="00512A5C"/>
    <w:rsid w:val="00512D53"/>
    <w:rsid w:val="00514883"/>
    <w:rsid w:val="00517D9B"/>
    <w:rsid w:val="00525B2C"/>
    <w:rsid w:val="0053132E"/>
    <w:rsid w:val="00535014"/>
    <w:rsid w:val="005377C5"/>
    <w:rsid w:val="0054481A"/>
    <w:rsid w:val="0055302F"/>
    <w:rsid w:val="00553791"/>
    <w:rsid w:val="00554CF4"/>
    <w:rsid w:val="00561C04"/>
    <w:rsid w:val="0056213B"/>
    <w:rsid w:val="00562F82"/>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97248"/>
    <w:rsid w:val="005A6A91"/>
    <w:rsid w:val="005A7827"/>
    <w:rsid w:val="005B0066"/>
    <w:rsid w:val="005B26A7"/>
    <w:rsid w:val="005B6452"/>
    <w:rsid w:val="005C3930"/>
    <w:rsid w:val="005C76D8"/>
    <w:rsid w:val="005D207E"/>
    <w:rsid w:val="005D23DB"/>
    <w:rsid w:val="005E0FD2"/>
    <w:rsid w:val="005E1321"/>
    <w:rsid w:val="005E1EDA"/>
    <w:rsid w:val="005E2DD4"/>
    <w:rsid w:val="005E5F2D"/>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633C"/>
    <w:rsid w:val="0062722C"/>
    <w:rsid w:val="006328B1"/>
    <w:rsid w:val="00640F39"/>
    <w:rsid w:val="006463F8"/>
    <w:rsid w:val="00651671"/>
    <w:rsid w:val="0065180F"/>
    <w:rsid w:val="00655AAF"/>
    <w:rsid w:val="00656A30"/>
    <w:rsid w:val="00666573"/>
    <w:rsid w:val="006673E7"/>
    <w:rsid w:val="00674964"/>
    <w:rsid w:val="00680B7E"/>
    <w:rsid w:val="00683B94"/>
    <w:rsid w:val="00683DFF"/>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5D0E"/>
    <w:rsid w:val="007062C1"/>
    <w:rsid w:val="007064DB"/>
    <w:rsid w:val="00707EB0"/>
    <w:rsid w:val="00710BB0"/>
    <w:rsid w:val="00710C7E"/>
    <w:rsid w:val="00722765"/>
    <w:rsid w:val="007327AF"/>
    <w:rsid w:val="00733DE0"/>
    <w:rsid w:val="007357C5"/>
    <w:rsid w:val="007370F4"/>
    <w:rsid w:val="0074032D"/>
    <w:rsid w:val="00740D25"/>
    <w:rsid w:val="00741328"/>
    <w:rsid w:val="007449A4"/>
    <w:rsid w:val="00747DF1"/>
    <w:rsid w:val="0075440E"/>
    <w:rsid w:val="007553D5"/>
    <w:rsid w:val="00756DA6"/>
    <w:rsid w:val="00756F76"/>
    <w:rsid w:val="00761E90"/>
    <w:rsid w:val="00762424"/>
    <w:rsid w:val="007642F4"/>
    <w:rsid w:val="00766617"/>
    <w:rsid w:val="007679B9"/>
    <w:rsid w:val="00767EC2"/>
    <w:rsid w:val="00771E0B"/>
    <w:rsid w:val="00771F09"/>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F0511"/>
    <w:rsid w:val="007F2AE5"/>
    <w:rsid w:val="007F4F0E"/>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34EE"/>
    <w:rsid w:val="008941DB"/>
    <w:rsid w:val="00896235"/>
    <w:rsid w:val="008A16EA"/>
    <w:rsid w:val="008B12C8"/>
    <w:rsid w:val="008B6162"/>
    <w:rsid w:val="008C04DF"/>
    <w:rsid w:val="008C0979"/>
    <w:rsid w:val="008C1971"/>
    <w:rsid w:val="008D0511"/>
    <w:rsid w:val="008D2CAF"/>
    <w:rsid w:val="008D3ACE"/>
    <w:rsid w:val="008D51CC"/>
    <w:rsid w:val="008D62E2"/>
    <w:rsid w:val="008E0C86"/>
    <w:rsid w:val="008E4F95"/>
    <w:rsid w:val="008F2ACF"/>
    <w:rsid w:val="008F4D52"/>
    <w:rsid w:val="008F4E41"/>
    <w:rsid w:val="009025FF"/>
    <w:rsid w:val="0090408D"/>
    <w:rsid w:val="00904E6B"/>
    <w:rsid w:val="00906300"/>
    <w:rsid w:val="00906EEC"/>
    <w:rsid w:val="00914204"/>
    <w:rsid w:val="0091575C"/>
    <w:rsid w:val="00915C7E"/>
    <w:rsid w:val="0092230C"/>
    <w:rsid w:val="00922606"/>
    <w:rsid w:val="00922D31"/>
    <w:rsid w:val="0092559F"/>
    <w:rsid w:val="00931141"/>
    <w:rsid w:val="00933A24"/>
    <w:rsid w:val="00934552"/>
    <w:rsid w:val="00935665"/>
    <w:rsid w:val="00935B30"/>
    <w:rsid w:val="00936A4E"/>
    <w:rsid w:val="00940728"/>
    <w:rsid w:val="00941580"/>
    <w:rsid w:val="009419AC"/>
    <w:rsid w:val="00944E0C"/>
    <w:rsid w:val="00945586"/>
    <w:rsid w:val="00946170"/>
    <w:rsid w:val="00950D81"/>
    <w:rsid w:val="009511FB"/>
    <w:rsid w:val="009533B3"/>
    <w:rsid w:val="009543EB"/>
    <w:rsid w:val="009623AB"/>
    <w:rsid w:val="00962D2A"/>
    <w:rsid w:val="0097000A"/>
    <w:rsid w:val="00970A6B"/>
    <w:rsid w:val="00972E5F"/>
    <w:rsid w:val="00973BC3"/>
    <w:rsid w:val="009759F9"/>
    <w:rsid w:val="009763C4"/>
    <w:rsid w:val="00976AEF"/>
    <w:rsid w:val="009803F1"/>
    <w:rsid w:val="00982DD5"/>
    <w:rsid w:val="009844F7"/>
    <w:rsid w:val="0099079E"/>
    <w:rsid w:val="00991C51"/>
    <w:rsid w:val="00992181"/>
    <w:rsid w:val="009936EE"/>
    <w:rsid w:val="00995FFD"/>
    <w:rsid w:val="009A0479"/>
    <w:rsid w:val="009A3CC7"/>
    <w:rsid w:val="009A45B0"/>
    <w:rsid w:val="009A5CAA"/>
    <w:rsid w:val="009A5EE4"/>
    <w:rsid w:val="009A6A6F"/>
    <w:rsid w:val="009B0D00"/>
    <w:rsid w:val="009B1B69"/>
    <w:rsid w:val="009B5725"/>
    <w:rsid w:val="009B722A"/>
    <w:rsid w:val="009C117D"/>
    <w:rsid w:val="009C4239"/>
    <w:rsid w:val="009C470D"/>
    <w:rsid w:val="009C638B"/>
    <w:rsid w:val="009D0798"/>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55A5"/>
    <w:rsid w:val="00A12A7C"/>
    <w:rsid w:val="00A1330E"/>
    <w:rsid w:val="00A144AE"/>
    <w:rsid w:val="00A17F88"/>
    <w:rsid w:val="00A245AE"/>
    <w:rsid w:val="00A26A56"/>
    <w:rsid w:val="00A27DA5"/>
    <w:rsid w:val="00A30058"/>
    <w:rsid w:val="00A33784"/>
    <w:rsid w:val="00A40017"/>
    <w:rsid w:val="00A402A1"/>
    <w:rsid w:val="00A44175"/>
    <w:rsid w:val="00A46315"/>
    <w:rsid w:val="00A50D22"/>
    <w:rsid w:val="00A512C3"/>
    <w:rsid w:val="00A52055"/>
    <w:rsid w:val="00A52E7C"/>
    <w:rsid w:val="00A55B9A"/>
    <w:rsid w:val="00A571FE"/>
    <w:rsid w:val="00A60395"/>
    <w:rsid w:val="00A6081F"/>
    <w:rsid w:val="00A61E46"/>
    <w:rsid w:val="00A6287E"/>
    <w:rsid w:val="00A637FB"/>
    <w:rsid w:val="00A63817"/>
    <w:rsid w:val="00A6790C"/>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B6F4C"/>
    <w:rsid w:val="00AC4396"/>
    <w:rsid w:val="00AC4F34"/>
    <w:rsid w:val="00AC5F0C"/>
    <w:rsid w:val="00AC6EC2"/>
    <w:rsid w:val="00AD66A9"/>
    <w:rsid w:val="00AE022D"/>
    <w:rsid w:val="00AE3A63"/>
    <w:rsid w:val="00AE5435"/>
    <w:rsid w:val="00AF3ABE"/>
    <w:rsid w:val="00AF4458"/>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A09"/>
    <w:rsid w:val="00BA4AF4"/>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45D5"/>
    <w:rsid w:val="00BF51B6"/>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260A"/>
    <w:rsid w:val="00C94624"/>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E670B"/>
    <w:rsid w:val="00CF3953"/>
    <w:rsid w:val="00D00A5D"/>
    <w:rsid w:val="00D00A87"/>
    <w:rsid w:val="00D02F2F"/>
    <w:rsid w:val="00D052F4"/>
    <w:rsid w:val="00D10D47"/>
    <w:rsid w:val="00D13087"/>
    <w:rsid w:val="00D1402B"/>
    <w:rsid w:val="00D16FA0"/>
    <w:rsid w:val="00D26DCE"/>
    <w:rsid w:val="00D43736"/>
    <w:rsid w:val="00D4462F"/>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780"/>
    <w:rsid w:val="00DA47A8"/>
    <w:rsid w:val="00DA54A4"/>
    <w:rsid w:val="00DA7985"/>
    <w:rsid w:val="00DB05F8"/>
    <w:rsid w:val="00DB3592"/>
    <w:rsid w:val="00DB3BCB"/>
    <w:rsid w:val="00DB4C93"/>
    <w:rsid w:val="00DC39DD"/>
    <w:rsid w:val="00DC3F8A"/>
    <w:rsid w:val="00DC47FB"/>
    <w:rsid w:val="00DC7C8C"/>
    <w:rsid w:val="00DD025E"/>
    <w:rsid w:val="00DD11FD"/>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5CD8"/>
    <w:rsid w:val="00E46123"/>
    <w:rsid w:val="00E46268"/>
    <w:rsid w:val="00E50093"/>
    <w:rsid w:val="00E5259D"/>
    <w:rsid w:val="00E538B9"/>
    <w:rsid w:val="00E55854"/>
    <w:rsid w:val="00E565CC"/>
    <w:rsid w:val="00E628AD"/>
    <w:rsid w:val="00E64339"/>
    <w:rsid w:val="00E65232"/>
    <w:rsid w:val="00E677BD"/>
    <w:rsid w:val="00E678A4"/>
    <w:rsid w:val="00E70C44"/>
    <w:rsid w:val="00E72B6E"/>
    <w:rsid w:val="00E743C7"/>
    <w:rsid w:val="00E8126F"/>
    <w:rsid w:val="00E872A7"/>
    <w:rsid w:val="00E87608"/>
    <w:rsid w:val="00E92B50"/>
    <w:rsid w:val="00E94260"/>
    <w:rsid w:val="00E95688"/>
    <w:rsid w:val="00EA19E9"/>
    <w:rsid w:val="00EA369D"/>
    <w:rsid w:val="00EA411E"/>
    <w:rsid w:val="00EA641F"/>
    <w:rsid w:val="00EA6A5A"/>
    <w:rsid w:val="00EB19E0"/>
    <w:rsid w:val="00EB5A80"/>
    <w:rsid w:val="00EC07DD"/>
    <w:rsid w:val="00EC0D7C"/>
    <w:rsid w:val="00EC3652"/>
    <w:rsid w:val="00EC5B2F"/>
    <w:rsid w:val="00EC7CD8"/>
    <w:rsid w:val="00EC7F14"/>
    <w:rsid w:val="00ED2638"/>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66D03"/>
    <w:rsid w:val="00F72DEA"/>
    <w:rsid w:val="00F7494B"/>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0312"/>
    <w:rsid w:val="00FC3A0E"/>
    <w:rsid w:val="00FC53E5"/>
    <w:rsid w:val="00FD0A3A"/>
    <w:rsid w:val="00FD16AF"/>
    <w:rsid w:val="00FD1F4D"/>
    <w:rsid w:val="00FD2A3E"/>
    <w:rsid w:val="00FD612B"/>
    <w:rsid w:val="00FD7077"/>
    <w:rsid w:val="00FE5BBC"/>
    <w:rsid w:val="00FF2F17"/>
    <w:rsid w:val="00FF507F"/>
    <w:rsid w:val="00FF649E"/>
    <w:rsid w:val="00FF6FE3"/>
    <w:rsid w:val="02CA50A0"/>
    <w:rsid w:val="0D7F25D5"/>
    <w:rsid w:val="0ECD0800"/>
    <w:rsid w:val="1E740C79"/>
    <w:rsid w:val="218433CE"/>
    <w:rsid w:val="21CE6E0B"/>
    <w:rsid w:val="21F274C6"/>
    <w:rsid w:val="2A7C50FF"/>
    <w:rsid w:val="412E5E5D"/>
    <w:rsid w:val="68AC4051"/>
    <w:rsid w:val="6FC77E5A"/>
    <w:rsid w:val="70506A9D"/>
  </w:rsids>
  <m:mathPr>
    <m:mathFont m:val="Cambria Math"/>
    <m:brkBin m:val="before"/>
    <m:brkBinSub m:val="--"/>
    <m:smallFrac m:val="1"/>
    <m:dispDef/>
    <m:lMargin m:val="0"/>
    <m:rMargin m:val="0"/>
    <m:defJc m:val="centerGroup"/>
    <m:wrapIndent m:val="1440"/>
    <m:intLim m:val="subSup"/>
    <m:naryLim m:val="undOvr"/>
  </m:mathPr>
  <w:doNotAutoCompressPictures/>
  <w:themeFontLang w:val="pt-B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6"/>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11">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9"/>
    <w:unhideWhenUsed/>
    <w:qFormat/>
    <w:uiPriority w:val="99"/>
    <w:rPr>
      <w:szCs w:val="20"/>
    </w:rPr>
  </w:style>
  <w:style w:type="paragraph" w:styleId="5">
    <w:name w:val="List Bullet 5"/>
    <w:basedOn w:val="1"/>
    <w:qFormat/>
    <w:uiPriority w:val="0"/>
    <w:pPr>
      <w:numPr>
        <w:ilvl w:val="0"/>
        <w:numId w:val="1"/>
      </w:numPr>
      <w:contextualSpacing/>
    </w:pPr>
  </w:style>
  <w:style w:type="paragraph" w:styleId="6">
    <w:name w:val="Normal (Web)"/>
    <w:basedOn w:val="1"/>
    <w:qFormat/>
    <w:uiPriority w:val="99"/>
    <w:pPr>
      <w:spacing w:before="100" w:beforeAutospacing="1" w:after="100" w:afterAutospacing="1"/>
    </w:pPr>
    <w:rPr>
      <w:rFonts w:ascii="Times New Roman" w:hAnsi="Times New Roman" w:cs="Times New Roman"/>
    </w:rPr>
  </w:style>
  <w:style w:type="paragraph" w:styleId="7">
    <w:name w:val="header"/>
    <w:basedOn w:val="1"/>
    <w:link w:val="33"/>
    <w:unhideWhenUsed/>
    <w:qFormat/>
    <w:uiPriority w:val="0"/>
    <w:pPr>
      <w:tabs>
        <w:tab w:val="center" w:pos="4252"/>
        <w:tab w:val="right" w:pos="8504"/>
      </w:tabs>
    </w:pPr>
  </w:style>
  <w:style w:type="paragraph" w:styleId="8">
    <w:name w:val="annotation subject"/>
    <w:basedOn w:val="4"/>
    <w:next w:val="4"/>
    <w:link w:val="30"/>
    <w:semiHidden/>
    <w:unhideWhenUsed/>
    <w:qFormat/>
    <w:uiPriority w:val="0"/>
    <w:rPr>
      <w:b/>
      <w:bCs/>
    </w:rPr>
  </w:style>
  <w:style w:type="paragraph" w:styleId="9">
    <w:name w:val="footer"/>
    <w:basedOn w:val="1"/>
    <w:link w:val="34"/>
    <w:unhideWhenUsed/>
    <w:qFormat/>
    <w:uiPriority w:val="99"/>
    <w:pPr>
      <w:tabs>
        <w:tab w:val="center" w:pos="4252"/>
        <w:tab w:val="right" w:pos="8504"/>
      </w:tabs>
    </w:pPr>
  </w:style>
  <w:style w:type="paragraph" w:styleId="10">
    <w:name w:val="Balloon Text"/>
    <w:basedOn w:val="1"/>
    <w:link w:val="17"/>
    <w:qFormat/>
    <w:uiPriority w:val="0"/>
    <w:rPr>
      <w:rFonts w:ascii="Tahoma" w:hAnsi="Tahoma" w:cs="Times New Roman"/>
      <w:sz w:val="16"/>
      <w:szCs w:val="16"/>
    </w:rPr>
  </w:style>
  <w:style w:type="character" w:styleId="12">
    <w:name w:val="annotation reference"/>
    <w:basedOn w:val="11"/>
    <w:semiHidden/>
    <w:unhideWhenUsed/>
    <w:qFormat/>
    <w:uiPriority w:val="99"/>
    <w:rPr>
      <w:sz w:val="16"/>
      <w:szCs w:val="16"/>
    </w:rPr>
  </w:style>
  <w:style w:type="character" w:styleId="13">
    <w:name w:val="Emphasis"/>
    <w:basedOn w:val="11"/>
    <w:qFormat/>
    <w:uiPriority w:val="20"/>
    <w:rPr>
      <w:i/>
      <w:iCs/>
    </w:rPr>
  </w:style>
  <w:style w:type="character" w:styleId="14">
    <w:name w:val="Hyperlink"/>
    <w:qFormat/>
    <w:uiPriority w:val="0"/>
    <w:rPr>
      <w:color w:val="000080"/>
      <w:u w:val="single"/>
    </w:rPr>
  </w:style>
  <w:style w:type="paragraph" w:customStyle="1" w:styleId="16">
    <w:name w:val="Lista Colorida - Ênfase 11"/>
    <w:basedOn w:val="1"/>
    <w:qFormat/>
    <w:uiPriority w:val="0"/>
    <w:pPr>
      <w:ind w:left="720"/>
      <w:contextualSpacing/>
    </w:pPr>
  </w:style>
  <w:style w:type="character" w:customStyle="1" w:styleId="17">
    <w:name w:val="Texto de balão Char"/>
    <w:link w:val="10"/>
    <w:qFormat/>
    <w:uiPriority w:val="0"/>
    <w:rPr>
      <w:rFonts w:ascii="Tahoma" w:hAnsi="Tahoma" w:cs="Tahoma"/>
      <w:sz w:val="16"/>
      <w:szCs w:val="16"/>
    </w:rPr>
  </w:style>
  <w:style w:type="character" w:customStyle="1" w:styleId="18">
    <w:name w:val="Título 2 Char"/>
    <w:link w:val="3"/>
    <w:qFormat/>
    <w:uiPriority w:val="0"/>
    <w:rPr>
      <w:b/>
      <w:color w:val="000000"/>
      <w:sz w:val="24"/>
    </w:rPr>
  </w:style>
  <w:style w:type="paragraph" w:customStyle="1" w:styleId="19">
    <w:name w:val="Nível 2"/>
    <w:basedOn w:val="1"/>
    <w:next w:val="1"/>
    <w:qFormat/>
    <w:uiPriority w:val="0"/>
    <w:pPr>
      <w:spacing w:after="120"/>
      <w:jc w:val="both"/>
    </w:pPr>
    <w:rPr>
      <w:rFonts w:cs="Times New Roman"/>
      <w:b/>
      <w:szCs w:val="20"/>
    </w:rPr>
  </w:style>
  <w:style w:type="character" w:customStyle="1" w:styleId="20">
    <w:name w:val="normal__char1"/>
    <w:qFormat/>
    <w:uiPriority w:val="0"/>
    <w:rPr>
      <w:rFonts w:hint="default" w:ascii="Arial" w:hAnsi="Arial" w:cs="Arial"/>
      <w:sz w:val="24"/>
      <w:szCs w:val="24"/>
      <w:u w:val="none"/>
    </w:rPr>
  </w:style>
  <w:style w:type="character" w:customStyle="1" w:styleId="21">
    <w:name w:val="apple-style-span"/>
    <w:basedOn w:val="11"/>
    <w:qFormat/>
    <w:uiPriority w:val="0"/>
  </w:style>
  <w:style w:type="paragraph" w:customStyle="1" w:styleId="22">
    <w:name w:val="Grade Colorida - Ênfase 11"/>
    <w:basedOn w:val="1"/>
    <w:next w:val="1"/>
    <w:link w:val="23"/>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eastAsia="en-US"/>
    </w:rPr>
  </w:style>
  <w:style w:type="character" w:customStyle="1" w:styleId="23">
    <w:name w:val="Grade Colorida - Ênfase 1 Char"/>
    <w:link w:val="22"/>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4">
    <w:name w:val="citação 2"/>
    <w:basedOn w:val="25"/>
    <w:link w:val="26"/>
    <w:qFormat/>
    <w:uiPriority w:val="0"/>
    <w:rPr>
      <w:szCs w:val="20"/>
    </w:rPr>
  </w:style>
  <w:style w:type="paragraph" w:styleId="25">
    <w:name w:val="Quote"/>
    <w:basedOn w:val="1"/>
    <w:next w:val="1"/>
    <w:link w:val="40"/>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6">
    <w:name w:val="citação 2 Char"/>
    <w:basedOn w:val="23"/>
    <w:link w:val="24"/>
    <w:qFormat/>
    <w:uiPriority w:val="0"/>
    <w:rPr>
      <w:rFonts w:ascii="Ecofont_Spranq_eco_Sans" w:hAnsi="Ecofont_Spranq_eco_Sans" w:eastAsia="Calibri" w:cs="Tahoma"/>
      <w:color w:val="000000"/>
      <w:szCs w:val="24"/>
      <w:shd w:val="clear" w:color="auto" w:fill="FFFFCC"/>
      <w:lang w:eastAsia="en-US"/>
    </w:rPr>
  </w:style>
  <w:style w:type="paragraph" w:customStyle="1" w:styleId="27">
    <w:name w:val="ad"/>
    <w:basedOn w:val="1"/>
    <w:qFormat/>
    <w:uiPriority w:val="0"/>
    <w:pPr>
      <w:spacing w:line="360" w:lineRule="auto"/>
      <w:ind w:left="993" w:hanging="284"/>
      <w:jc w:val="both"/>
    </w:pPr>
    <w:rPr>
      <w:rFonts w:ascii="Times New Roman" w:hAnsi="Times New Roman" w:cs="Times New Roman"/>
      <w:color w:val="000000"/>
    </w:rPr>
  </w:style>
  <w:style w:type="paragraph" w:customStyle="1" w:styleId="28">
    <w:name w:val="Título da Tabela"/>
    <w:basedOn w:val="1"/>
    <w:qFormat/>
    <w:uiPriority w:val="0"/>
    <w:pPr>
      <w:widowControl w:val="0"/>
      <w:suppressLineNumbers/>
      <w:suppressAutoHyphens/>
      <w:spacing w:after="120"/>
      <w:jc w:val="center"/>
    </w:pPr>
    <w:rPr>
      <w:rFonts w:ascii="Times New Roman" w:hAnsi="Times New Roman" w:eastAsia="Arial Unicode MS" w:cs="Times New Roman"/>
      <w:b/>
      <w:bCs/>
      <w:i/>
      <w:iCs/>
      <w:szCs w:val="20"/>
    </w:rPr>
  </w:style>
  <w:style w:type="character" w:customStyle="1" w:styleId="29">
    <w:name w:val="Texto de comentário Char"/>
    <w:basedOn w:val="11"/>
    <w:link w:val="4"/>
    <w:qFormat/>
    <w:uiPriority w:val="99"/>
    <w:rPr>
      <w:rFonts w:ascii="Ecofont_Spranq_eco_Sans" w:hAnsi="Ecofont_Spranq_eco_Sans" w:cs="Tahoma"/>
    </w:rPr>
  </w:style>
  <w:style w:type="character" w:customStyle="1" w:styleId="30">
    <w:name w:val="Assunto do comentário Char"/>
    <w:basedOn w:val="29"/>
    <w:link w:val="8"/>
    <w:semiHidden/>
    <w:qFormat/>
    <w:uiPriority w:val="0"/>
    <w:rPr>
      <w:rFonts w:ascii="Ecofont_Spranq_eco_Sans" w:hAnsi="Ecofont_Spranq_eco_Sans" w:cs="Tahoma"/>
      <w:b/>
      <w:bCs/>
    </w:rPr>
  </w:style>
  <w:style w:type="paragraph" w:customStyle="1" w:styleId="31">
    <w:name w:val="Corpo de texto 21"/>
    <w:basedOn w:val="1"/>
    <w:qFormat/>
    <w:uiPriority w:val="0"/>
    <w:pPr>
      <w:suppressAutoHyphens/>
      <w:ind w:firstLine="2835"/>
      <w:jc w:val="both"/>
    </w:pPr>
    <w:rPr>
      <w:rFonts w:cs="Times New Roman"/>
      <w:szCs w:val="20"/>
      <w:lang w:eastAsia="ar-SA"/>
    </w:rPr>
  </w:style>
  <w:style w:type="paragraph" w:styleId="32">
    <w:name w:val="List Paragraph"/>
    <w:basedOn w:val="1"/>
    <w:qFormat/>
    <w:uiPriority w:val="34"/>
    <w:pPr>
      <w:ind w:left="720"/>
      <w:contextualSpacing/>
    </w:pPr>
  </w:style>
  <w:style w:type="character" w:customStyle="1" w:styleId="33">
    <w:name w:val="Cabeçalho Char"/>
    <w:basedOn w:val="11"/>
    <w:link w:val="7"/>
    <w:qFormat/>
    <w:uiPriority w:val="0"/>
    <w:rPr>
      <w:rFonts w:ascii="Ecofont_Spranq_eco_Sans" w:hAnsi="Ecofont_Spranq_eco_Sans" w:cs="Tahoma"/>
      <w:sz w:val="24"/>
      <w:szCs w:val="24"/>
    </w:rPr>
  </w:style>
  <w:style w:type="character" w:customStyle="1" w:styleId="34">
    <w:name w:val="Rodapé Char"/>
    <w:basedOn w:val="11"/>
    <w:link w:val="9"/>
    <w:qFormat/>
    <w:uiPriority w:val="99"/>
    <w:rPr>
      <w:rFonts w:ascii="Ecofont_Spranq_eco_Sans" w:hAnsi="Ecofont_Spranq_eco_Sans" w:cs="Tahoma"/>
      <w:sz w:val="24"/>
      <w:szCs w:val="24"/>
    </w:rPr>
  </w:style>
  <w:style w:type="paragraph" w:customStyle="1" w:styleId="35">
    <w:name w:val="Nivel_01_Titulo"/>
    <w:basedOn w:val="2"/>
    <w:next w:val="1"/>
    <w:link w:val="37"/>
    <w:qFormat/>
    <w:uiPriority w:val="0"/>
    <w:pPr>
      <w:numPr>
        <w:ilvl w:val="0"/>
        <w:numId w:val="2"/>
      </w:numPr>
      <w:tabs>
        <w:tab w:val="left" w:pos="567"/>
      </w:tabs>
      <w:spacing w:before="240"/>
      <w:jc w:val="both"/>
    </w:pPr>
    <w:rPr>
      <w:rFonts w:ascii="Arial" w:hAnsi="Arial" w:cs="Times New Roman"/>
      <w:color w:val="auto"/>
      <w:sz w:val="20"/>
      <w:szCs w:val="20"/>
    </w:rPr>
  </w:style>
  <w:style w:type="character" w:customStyle="1" w:styleId="36">
    <w:name w:val="Título 1 Char"/>
    <w:basedOn w:val="11"/>
    <w:link w:val="2"/>
    <w:qFormat/>
    <w:uiPriority w:val="0"/>
    <w:rPr>
      <w:rFonts w:asciiTheme="majorHAnsi" w:hAnsiTheme="majorHAnsi" w:eastAsiaTheme="majorEastAsia" w:cstheme="majorBidi"/>
      <w:b/>
      <w:bCs/>
      <w:color w:val="376092" w:themeColor="accent1" w:themeShade="BF"/>
      <w:sz w:val="28"/>
      <w:szCs w:val="28"/>
    </w:rPr>
  </w:style>
  <w:style w:type="character" w:customStyle="1" w:styleId="37">
    <w:name w:val="Nivel_01_Titulo Char"/>
    <w:basedOn w:val="36"/>
    <w:link w:val="35"/>
    <w:qFormat/>
    <w:uiPriority w:val="0"/>
    <w:rPr>
      <w:rFonts w:ascii="Arial" w:hAnsi="Arial" w:eastAsiaTheme="majorEastAsia" w:cstheme="majorBidi"/>
      <w:color w:val="376092" w:themeColor="accent1" w:themeShade="BF"/>
      <w:sz w:val="28"/>
      <w:szCs w:val="28"/>
    </w:rPr>
  </w:style>
  <w:style w:type="paragraph" w:customStyle="1" w:styleId="38">
    <w:name w:val="Nivel1"/>
    <w:basedOn w:val="2"/>
    <w:next w:val="1"/>
    <w:qFormat/>
    <w:uiPriority w:val="0"/>
    <w:pPr>
      <w:spacing w:line="276" w:lineRule="auto"/>
      <w:ind w:left="357" w:hanging="357"/>
      <w:jc w:val="both"/>
    </w:pPr>
    <w:rPr>
      <w:rFonts w:ascii="Arial" w:hAnsi="Arial" w:cs="Times New Roman"/>
      <w:bCs w:val="0"/>
      <w:color w:val="000000"/>
      <w:sz w:val="20"/>
      <w:szCs w:val="20"/>
    </w:rPr>
  </w:style>
  <w:style w:type="paragraph" w:customStyle="1" w:styleId="39">
    <w:name w:val="Revision"/>
    <w:hidden/>
    <w:semiHidden/>
    <w:qFormat/>
    <w:uiPriority w:val="99"/>
    <w:rPr>
      <w:rFonts w:ascii="Arial" w:hAnsi="Arial" w:eastAsia="Times New Roman" w:cs="Tahoma"/>
      <w:szCs w:val="24"/>
      <w:lang w:val="pt-BR" w:eastAsia="pt-BR" w:bidi="ar-SA"/>
    </w:rPr>
  </w:style>
  <w:style w:type="character" w:customStyle="1" w:styleId="40">
    <w:name w:val="Citação Char"/>
    <w:basedOn w:val="11"/>
    <w:link w:val="25"/>
    <w:qFormat/>
    <w:uiPriority w:val="0"/>
    <w:rPr>
      <w:rFonts w:ascii="Arial" w:hAnsi="Arial" w:eastAsia="Calibri" w:cs="Tahoma"/>
      <w:i/>
      <w:iCs/>
      <w:color w:val="000000"/>
      <w:szCs w:val="24"/>
      <w:shd w:val="clear" w:color="auto" w:fill="FFFFCC"/>
      <w:lang w:eastAsia="en-US"/>
    </w:rPr>
  </w:style>
  <w:style w:type="character" w:customStyle="1" w:styleId="41">
    <w:name w:val="Unresolved Mention"/>
    <w:basedOn w:val="11"/>
    <w:semiHidden/>
    <w:unhideWhenUsed/>
    <w:qFormat/>
    <w:uiPriority w:val="99"/>
    <w:rPr>
      <w:color w:val="605E5C"/>
      <w:shd w:val="clear" w:color="auto" w:fill="E1DFDD"/>
    </w:rPr>
  </w:style>
  <w:style w:type="paragraph" w:customStyle="1" w:styleId="42">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43">
    <w:name w:val="Header"/>
    <w:basedOn w:val="1"/>
    <w:qFormat/>
    <w:uiPriority w:val="0"/>
    <w:pPr>
      <w:tabs>
        <w:tab w:val="center" w:pos="4252"/>
        <w:tab w:val="right" w:pos="8504"/>
      </w:tabs>
    </w:pPr>
  </w:style>
  <w:style w:type="paragraph" w:customStyle="1" w:styleId="44">
    <w:name w:val="Footer"/>
    <w:basedOn w:val="1"/>
    <w:qFormat/>
    <w:uiPriority w:val="99"/>
    <w:pPr>
      <w:tabs>
        <w:tab w:val="center" w:pos="4252"/>
        <w:tab w:val="right" w:pos="8504"/>
      </w:tabs>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BDBE08-5EDC-4E49-AA35-F610E69A5C00}">
  <ds:schemaRefs/>
</ds:datastoreItem>
</file>

<file path=customXml/itemProps3.xml><?xml version="1.0" encoding="utf-8"?>
<ds:datastoreItem xmlns:ds="http://schemas.openxmlformats.org/officeDocument/2006/customXml" ds:itemID="{4EE35EC5-8FB6-4E2A-A1CC-8B5D084F49FD}">
  <ds:schemaRefs/>
</ds:datastoreItem>
</file>

<file path=customXml/itemProps4.xml><?xml version="1.0" encoding="utf-8"?>
<ds:datastoreItem xmlns:ds="http://schemas.openxmlformats.org/officeDocument/2006/customXml" ds:itemID="{82DED975-93DE-4FD8-894D-894126A076B1}">
  <ds:schemaRefs/>
</ds:datastoreItem>
</file>

<file path=customXml/itemProps5.xml><?xml version="1.0" encoding="utf-8"?>
<ds:datastoreItem xmlns:ds="http://schemas.openxmlformats.org/officeDocument/2006/customXml" ds:itemID="{8FF029D9-9E4B-4494-BE96-81B763305E58}">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8</Pages>
  <Words>2100</Words>
  <Characters>11342</Characters>
  <Lines>94</Lines>
  <Paragraphs>26</Paragraphs>
  <TotalTime>65</TotalTime>
  <ScaleCrop>false</ScaleCrop>
  <LinksUpToDate>false</LinksUpToDate>
  <CharactersWithSpaces>13416</CharactersWithSpaces>
  <Application>WPS Office_11.2.0.9232_F1E327BC-269C-435d-A152-05C5408002CA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2019-09-24T19:57:00Z</dcterms:created>
  <dc:creator>Adriano</dc:creator>
  <cp:lastModifiedBy>IFPB</cp:lastModifiedBy>
  <cp:lastPrinted>2020-03-05T19:03:00Z</cp:lastPrinted>
  <dcterms:modified xsi:type="dcterms:W3CDTF">2020-04-01T13:30:59Z</dcterms:modified>
  <dc:title>NOTAS EXPLICATIVAS</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1046-11.2.0.9232</vt:lpwstr>
  </property>
</Properties>
</file>